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FE76" w14:textId="3CE7BA07" w:rsidR="00ED3677" w:rsidRPr="00ED3677" w:rsidRDefault="00ED3677">
      <w:pPr>
        <w:rPr>
          <w:rFonts w:ascii="Arial" w:hAnsi="Arial" w:cs="Arial"/>
          <w:color w:val="303030"/>
          <w:sz w:val="24"/>
          <w:szCs w:val="24"/>
          <w:shd w:val="clear" w:color="auto" w:fill="FFFFFF"/>
        </w:rPr>
      </w:pPr>
    </w:p>
    <w:p w14:paraId="20D86B1F" w14:textId="56EE1246" w:rsidR="00ED3677" w:rsidRPr="00ED3677" w:rsidRDefault="00ED3677" w:rsidP="00ED3677">
      <w:pPr>
        <w:jc w:val="center"/>
        <w:rPr>
          <w:b/>
          <w:bCs/>
          <w:sz w:val="24"/>
          <w:szCs w:val="24"/>
        </w:rPr>
      </w:pPr>
      <w:proofErr w:type="spellStart"/>
      <w:r w:rsidRPr="00ED3677">
        <w:rPr>
          <w:b/>
          <w:bCs/>
          <w:sz w:val="24"/>
          <w:szCs w:val="24"/>
        </w:rPr>
        <w:t>Nutrienti</w:t>
      </w:r>
      <w:r w:rsidR="00F54364">
        <w:rPr>
          <w:b/>
          <w:bCs/>
          <w:sz w:val="24"/>
          <w:szCs w:val="24"/>
        </w:rPr>
        <w:t>i</w:t>
      </w:r>
      <w:proofErr w:type="spellEnd"/>
      <w:r w:rsidR="00F54364">
        <w:rPr>
          <w:b/>
          <w:bCs/>
          <w:sz w:val="24"/>
          <w:szCs w:val="24"/>
        </w:rPr>
        <w:t xml:space="preserve"> </w:t>
      </w:r>
      <w:proofErr w:type="spellStart"/>
      <w:r w:rsidR="00F54364">
        <w:rPr>
          <w:b/>
          <w:bCs/>
          <w:sz w:val="24"/>
          <w:szCs w:val="24"/>
        </w:rPr>
        <w:t>si</w:t>
      </w:r>
      <w:proofErr w:type="spellEnd"/>
      <w:r w:rsidRPr="00ED3677">
        <w:rPr>
          <w:b/>
          <w:bCs/>
          <w:sz w:val="24"/>
          <w:szCs w:val="24"/>
        </w:rPr>
        <w:t xml:space="preserve"> </w:t>
      </w:r>
      <w:proofErr w:type="spellStart"/>
      <w:r w:rsidRPr="00ED3677">
        <w:rPr>
          <w:b/>
          <w:bCs/>
          <w:sz w:val="24"/>
          <w:szCs w:val="24"/>
        </w:rPr>
        <w:t>osteoporoza</w:t>
      </w:r>
      <w:proofErr w:type="spellEnd"/>
    </w:p>
    <w:p w14:paraId="3875E71A" w14:textId="6F6E32C2" w:rsidR="00ED3677" w:rsidRDefault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Osteoporoza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boală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cronică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comună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caracterizată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printr</w:t>
      </w:r>
      <w:proofErr w:type="spellEnd"/>
      <w:r w:rsidRPr="00ED3677">
        <w:rPr>
          <w:sz w:val="24"/>
          <w:szCs w:val="24"/>
        </w:rPr>
        <w:t xml:space="preserve">-o </w:t>
      </w:r>
      <w:proofErr w:type="spellStart"/>
      <w:r w:rsidRPr="00ED3677">
        <w:rPr>
          <w:sz w:val="24"/>
          <w:szCs w:val="24"/>
        </w:rPr>
        <w:t>scădere</w:t>
      </w:r>
      <w:proofErr w:type="spellEnd"/>
      <w:r w:rsidRPr="00ED3677">
        <w:rPr>
          <w:sz w:val="24"/>
          <w:szCs w:val="24"/>
        </w:rPr>
        <w:t xml:space="preserve"> a </w:t>
      </w:r>
      <w:proofErr w:type="spellStart"/>
      <w:r w:rsidRPr="00ED3677">
        <w:rPr>
          <w:sz w:val="24"/>
          <w:szCs w:val="24"/>
        </w:rPr>
        <w:t>densității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minerale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afectarea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rezistenței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un </w:t>
      </w:r>
      <w:proofErr w:type="spellStart"/>
      <w:r w:rsidRPr="00ED3677">
        <w:rPr>
          <w:sz w:val="24"/>
          <w:szCs w:val="24"/>
        </w:rPr>
        <w:t>risc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crescut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fracturi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fragilitate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Fracturile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fragilitate</w:t>
      </w:r>
      <w:proofErr w:type="spellEnd"/>
      <w:r w:rsidRPr="00ED3677">
        <w:rPr>
          <w:sz w:val="24"/>
          <w:szCs w:val="24"/>
        </w:rPr>
        <w:t xml:space="preserve"> sunt </w:t>
      </w:r>
      <w:proofErr w:type="spellStart"/>
      <w:r w:rsidRPr="00ED3677">
        <w:rPr>
          <w:sz w:val="24"/>
          <w:szCs w:val="24"/>
        </w:rPr>
        <w:t>asociate</w:t>
      </w:r>
      <w:proofErr w:type="spellEnd"/>
      <w:r w:rsidRPr="00ED3677">
        <w:rPr>
          <w:sz w:val="24"/>
          <w:szCs w:val="24"/>
        </w:rPr>
        <w:t xml:space="preserve"> cu </w:t>
      </w:r>
      <w:proofErr w:type="spellStart"/>
      <w:r w:rsidRPr="00ED3677">
        <w:rPr>
          <w:sz w:val="24"/>
          <w:szCs w:val="24"/>
        </w:rPr>
        <w:t>morbiditate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mortalitate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dizabilitate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semnificative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reprezintă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problemă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majoră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sănătate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publică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nivel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mondial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Influența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factorilor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nutriționali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asupra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dezvoltării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progresiei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acestei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boli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poate</w:t>
      </w:r>
      <w:proofErr w:type="spellEnd"/>
      <w:r w:rsidRPr="00ED3677">
        <w:rPr>
          <w:sz w:val="24"/>
          <w:szCs w:val="24"/>
        </w:rPr>
        <w:t xml:space="preserve"> fi </w:t>
      </w:r>
      <w:proofErr w:type="spellStart"/>
      <w:r w:rsidRPr="00ED3677">
        <w:rPr>
          <w:sz w:val="24"/>
          <w:szCs w:val="24"/>
        </w:rPr>
        <w:t>semnificativă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nu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încă</w:t>
      </w:r>
      <w:proofErr w:type="spellEnd"/>
      <w:r w:rsidRPr="00ED3677">
        <w:rPr>
          <w:sz w:val="24"/>
          <w:szCs w:val="24"/>
        </w:rPr>
        <w:t xml:space="preserve"> bine </w:t>
      </w:r>
      <w:proofErr w:type="spellStart"/>
      <w:r w:rsidRPr="00ED3677">
        <w:rPr>
          <w:sz w:val="24"/>
          <w:szCs w:val="24"/>
        </w:rPr>
        <w:t>stabilită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Aportul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</w:t>
      </w:r>
      <w:r w:rsidR="00AD477E">
        <w:rPr>
          <w:sz w:val="24"/>
          <w:szCs w:val="24"/>
        </w:rPr>
        <w:t>atusul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 sunt considerate a fi </w:t>
      </w:r>
      <w:proofErr w:type="spellStart"/>
      <w:r w:rsidRPr="00ED3677">
        <w:rPr>
          <w:sz w:val="24"/>
          <w:szCs w:val="24"/>
        </w:rPr>
        <w:t>esențiale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homeostazia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metabolismului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osos</w:t>
      </w:r>
      <w:proofErr w:type="spellEnd"/>
      <w:r w:rsidRPr="00ED3677">
        <w:rPr>
          <w:sz w:val="24"/>
          <w:szCs w:val="24"/>
        </w:rPr>
        <w:t xml:space="preserve">. Cu </w:t>
      </w:r>
      <w:proofErr w:type="spellStart"/>
      <w:r w:rsidRPr="00ED3677">
        <w:rPr>
          <w:sz w:val="24"/>
          <w:szCs w:val="24"/>
        </w:rPr>
        <w:t>toate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acestea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unele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studii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recente</w:t>
      </w:r>
      <w:proofErr w:type="spellEnd"/>
      <w:r w:rsidRPr="00ED3677">
        <w:rPr>
          <w:sz w:val="24"/>
          <w:szCs w:val="24"/>
        </w:rPr>
        <w:t xml:space="preserve"> au pus la </w:t>
      </w:r>
      <w:proofErr w:type="spellStart"/>
      <w:r w:rsidRPr="00ED3677">
        <w:rPr>
          <w:sz w:val="24"/>
          <w:szCs w:val="24"/>
        </w:rPr>
        <w:t>îndoială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utilitatea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suplimentelor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scăderea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riscului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fracturi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Aportul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adecvat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, legume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alți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nutrienți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interes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iar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recomandările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="00414FBC">
        <w:rPr>
          <w:sz w:val="24"/>
          <w:szCs w:val="24"/>
        </w:rPr>
        <w:t>actuale</w:t>
      </w:r>
      <w:proofErr w:type="spellEnd"/>
      <w:r w:rsidR="00414FBC">
        <w:rPr>
          <w:sz w:val="24"/>
          <w:szCs w:val="24"/>
        </w:rPr>
        <w:t xml:space="preserve"> </w:t>
      </w:r>
      <w:r w:rsidRPr="00ED3677">
        <w:rPr>
          <w:sz w:val="24"/>
          <w:szCs w:val="24"/>
        </w:rPr>
        <w:t xml:space="preserve">au </w:t>
      </w:r>
      <w:proofErr w:type="spellStart"/>
      <w:r w:rsidRPr="00ED3677">
        <w:rPr>
          <w:sz w:val="24"/>
          <w:szCs w:val="24"/>
        </w:rPr>
        <w:t>fost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stabilite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consens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specialitate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="00414FBC">
        <w:rPr>
          <w:sz w:val="24"/>
          <w:szCs w:val="24"/>
        </w:rPr>
        <w:t>ghidurile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practică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clinică</w:t>
      </w:r>
      <w:proofErr w:type="spellEnd"/>
      <w:r w:rsidRPr="00ED3677">
        <w:rPr>
          <w:sz w:val="24"/>
          <w:szCs w:val="24"/>
        </w:rPr>
        <w:t xml:space="preserve">. Este important </w:t>
      </w:r>
      <w:proofErr w:type="spellStart"/>
      <w:r w:rsidRPr="00ED3677">
        <w:rPr>
          <w:sz w:val="24"/>
          <w:szCs w:val="24"/>
        </w:rPr>
        <w:t>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înțelegem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influența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nutrienților</w:t>
      </w:r>
      <w:proofErr w:type="spellEnd"/>
      <w:r w:rsidRPr="00ED3677">
        <w:rPr>
          <w:sz w:val="24"/>
          <w:szCs w:val="24"/>
        </w:rPr>
        <w:t xml:space="preserve"> nu </w:t>
      </w:r>
      <w:proofErr w:type="spellStart"/>
      <w:r w:rsidRPr="00ED3677">
        <w:rPr>
          <w:sz w:val="24"/>
          <w:szCs w:val="24"/>
        </w:rPr>
        <w:t>numai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izolare</w:t>
      </w:r>
      <w:proofErr w:type="spellEnd"/>
      <w:r w:rsidRPr="00ED3677">
        <w:rPr>
          <w:sz w:val="24"/>
          <w:szCs w:val="24"/>
        </w:rPr>
        <w:t xml:space="preserve">, ci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contextul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unui</w:t>
      </w:r>
      <w:proofErr w:type="spellEnd"/>
      <w:r w:rsidRPr="00ED3677">
        <w:rPr>
          <w:sz w:val="24"/>
          <w:szCs w:val="24"/>
        </w:rPr>
        <w:t xml:space="preserve"> model </w:t>
      </w:r>
      <w:proofErr w:type="spellStart"/>
      <w:r w:rsidRPr="00ED3677">
        <w:rPr>
          <w:sz w:val="24"/>
          <w:szCs w:val="24"/>
        </w:rPr>
        <w:t>alimentar</w:t>
      </w:r>
      <w:proofErr w:type="spellEnd"/>
      <w:r w:rsidRPr="00ED3677">
        <w:rPr>
          <w:sz w:val="24"/>
          <w:szCs w:val="24"/>
        </w:rPr>
        <w:t xml:space="preserve">, care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un </w:t>
      </w:r>
      <w:proofErr w:type="spellStart"/>
      <w:r w:rsidRPr="00ED3677">
        <w:rPr>
          <w:sz w:val="24"/>
          <w:szCs w:val="24"/>
        </w:rPr>
        <w:t>amestec</w:t>
      </w:r>
      <w:proofErr w:type="spellEnd"/>
      <w:r w:rsidRPr="00ED3677">
        <w:rPr>
          <w:sz w:val="24"/>
          <w:szCs w:val="24"/>
        </w:rPr>
        <w:t xml:space="preserve"> complex de </w:t>
      </w:r>
      <w:proofErr w:type="spellStart"/>
      <w:r w:rsidRPr="00ED3677">
        <w:rPr>
          <w:sz w:val="24"/>
          <w:szCs w:val="24"/>
        </w:rPr>
        <w:t>nutrienți</w:t>
      </w:r>
      <w:proofErr w:type="spellEnd"/>
      <w:r w:rsidRPr="00ED3677">
        <w:rPr>
          <w:sz w:val="24"/>
          <w:szCs w:val="24"/>
        </w:rPr>
        <w:t xml:space="preserve">. </w:t>
      </w:r>
    </w:p>
    <w:p w14:paraId="6088E24F" w14:textId="7F0F0377" w:rsidR="00414FBC" w:rsidRDefault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Promovarea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obiceiurilor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sănătoase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foarte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importantă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reducerea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riscului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osteoporoză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Asigurarea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unui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aport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alimentar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adecvat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efectuarea</w:t>
      </w:r>
      <w:proofErr w:type="spellEnd"/>
      <w:r w:rsidRPr="00ED3677">
        <w:rPr>
          <w:sz w:val="24"/>
          <w:szCs w:val="24"/>
        </w:rPr>
        <w:t xml:space="preserve"> </w:t>
      </w:r>
      <w:r w:rsidR="00414FBC">
        <w:rPr>
          <w:sz w:val="24"/>
          <w:szCs w:val="24"/>
        </w:rPr>
        <w:t xml:space="preserve">cu </w:t>
      </w:r>
      <w:proofErr w:type="spellStart"/>
      <w:r w:rsidR="00414FBC" w:rsidRPr="00ED3677">
        <w:rPr>
          <w:sz w:val="24"/>
          <w:szCs w:val="24"/>
        </w:rPr>
        <w:t>regula</w:t>
      </w:r>
      <w:r w:rsidR="00414FBC">
        <w:rPr>
          <w:sz w:val="24"/>
          <w:szCs w:val="24"/>
        </w:rPr>
        <w:t>ritate</w:t>
      </w:r>
      <w:proofErr w:type="spellEnd"/>
      <w:r w:rsidR="00414FBC" w:rsidRPr="00ED3677">
        <w:rPr>
          <w:sz w:val="24"/>
          <w:szCs w:val="24"/>
        </w:rPr>
        <w:t xml:space="preserve"> </w:t>
      </w:r>
      <w:proofErr w:type="gramStart"/>
      <w:r w:rsidR="00414FBC">
        <w:rPr>
          <w:sz w:val="24"/>
          <w:szCs w:val="24"/>
        </w:rPr>
        <w:t>a</w:t>
      </w:r>
      <w:proofErr w:type="gramEnd"/>
      <w:r w:rsidR="00414FBC">
        <w:rPr>
          <w:sz w:val="24"/>
          <w:szCs w:val="24"/>
        </w:rPr>
        <w:t xml:space="preserve"> </w:t>
      </w:r>
      <w:proofErr w:type="spellStart"/>
      <w:r w:rsidR="00414FBC">
        <w:rPr>
          <w:sz w:val="24"/>
          <w:szCs w:val="24"/>
        </w:rPr>
        <w:t>exercitiilor</w:t>
      </w:r>
      <w:proofErr w:type="spellEnd"/>
      <w:r w:rsidR="00414FBC">
        <w:rPr>
          <w:sz w:val="24"/>
          <w:szCs w:val="24"/>
        </w:rPr>
        <w:t xml:space="preserve"> </w:t>
      </w:r>
      <w:proofErr w:type="spellStart"/>
      <w:r w:rsidR="00414FBC">
        <w:rPr>
          <w:sz w:val="24"/>
          <w:szCs w:val="24"/>
        </w:rPr>
        <w:t>fizice</w:t>
      </w:r>
      <w:proofErr w:type="spellEnd"/>
      <w:r w:rsidR="00414FBC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abandonarea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obiceiurile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dăunătoare</w:t>
      </w:r>
      <w:proofErr w:type="spellEnd"/>
      <w:r w:rsidRPr="00ED3677">
        <w:rPr>
          <w:sz w:val="24"/>
          <w:szCs w:val="24"/>
        </w:rPr>
        <w:t xml:space="preserve">, </w:t>
      </w:r>
      <w:r w:rsidR="00414FBC">
        <w:rPr>
          <w:sz w:val="24"/>
          <w:szCs w:val="24"/>
        </w:rPr>
        <w:t xml:space="preserve">cum sunt </w:t>
      </w:r>
      <w:proofErr w:type="spellStart"/>
      <w:r w:rsidRPr="00ED3677">
        <w:rPr>
          <w:sz w:val="24"/>
          <w:szCs w:val="24"/>
        </w:rPr>
        <w:t>consumul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alcool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fumatul-ajută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îmbunătățirea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calității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Alți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nutrienți</w:t>
      </w:r>
      <w:proofErr w:type="spellEnd"/>
      <w:r w:rsidRPr="00ED3677">
        <w:rPr>
          <w:sz w:val="24"/>
          <w:szCs w:val="24"/>
        </w:rPr>
        <w:t xml:space="preserve"> par </w:t>
      </w:r>
      <w:proofErr w:type="spellStart"/>
      <w:r w:rsidRPr="00ED3677">
        <w:rPr>
          <w:sz w:val="24"/>
          <w:szCs w:val="24"/>
        </w:rPr>
        <w:t>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aibă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influență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suplimentară</w:t>
      </w:r>
      <w:proofErr w:type="spellEnd"/>
      <w:r w:rsidR="005D1447">
        <w:rPr>
          <w:sz w:val="24"/>
          <w:szCs w:val="24"/>
        </w:rPr>
        <w:t xml:space="preserve"> [1].</w:t>
      </w:r>
    </w:p>
    <w:p w14:paraId="1EAE8A74" w14:textId="4CF5F4C3" w:rsidR="004E0AB4" w:rsidRDefault="00414F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Ghidurile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europene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diagnosticarea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gestionarea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osteoporozei</w:t>
      </w:r>
      <w:proofErr w:type="spellEnd"/>
      <w:r w:rsidR="00ED3677" w:rsidRPr="00ED3677">
        <w:rPr>
          <w:sz w:val="24"/>
          <w:szCs w:val="24"/>
        </w:rPr>
        <w:t xml:space="preserve"> la </w:t>
      </w:r>
      <w:proofErr w:type="spellStart"/>
      <w:r w:rsidR="00ED3677" w:rsidRPr="00ED3677">
        <w:rPr>
          <w:sz w:val="24"/>
          <w:szCs w:val="24"/>
        </w:rPr>
        <w:t>femeile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aflate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în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postmenopauză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recomandă</w:t>
      </w:r>
      <w:proofErr w:type="spellEnd"/>
      <w:r w:rsidR="00ED3677" w:rsidRPr="00ED3677">
        <w:rPr>
          <w:sz w:val="24"/>
          <w:szCs w:val="24"/>
        </w:rPr>
        <w:t xml:space="preserve"> un </w:t>
      </w:r>
      <w:proofErr w:type="spellStart"/>
      <w:r w:rsidR="00ED3677" w:rsidRPr="00ED3677">
        <w:rPr>
          <w:sz w:val="24"/>
          <w:szCs w:val="24"/>
        </w:rPr>
        <w:t>aport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zilnic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cel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puțin</w:t>
      </w:r>
      <w:proofErr w:type="spellEnd"/>
      <w:r w:rsidR="00ED3677" w:rsidRPr="00ED3677">
        <w:rPr>
          <w:sz w:val="24"/>
          <w:szCs w:val="24"/>
        </w:rPr>
        <w:t xml:space="preserve"> </w:t>
      </w:r>
      <w:r w:rsidR="00ED3677" w:rsidRPr="00414FBC">
        <w:rPr>
          <w:b/>
          <w:bCs/>
          <w:i/>
          <w:iCs/>
          <w:sz w:val="24"/>
          <w:szCs w:val="24"/>
        </w:rPr>
        <w:t>1000 mg/</w:t>
      </w:r>
      <w:proofErr w:type="spellStart"/>
      <w:r w:rsidR="00ED3677" w:rsidRPr="00414FBC">
        <w:rPr>
          <w:b/>
          <w:bCs/>
          <w:i/>
          <w:iCs/>
          <w:sz w:val="24"/>
          <w:szCs w:val="24"/>
        </w:rPr>
        <w:t>zi</w:t>
      </w:r>
      <w:proofErr w:type="spellEnd"/>
      <w:r w:rsidR="00ED3677" w:rsidRPr="00414FBC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="00ED3677" w:rsidRPr="00414FBC">
        <w:rPr>
          <w:b/>
          <w:bCs/>
          <w:i/>
          <w:iCs/>
          <w:sz w:val="24"/>
          <w:szCs w:val="24"/>
        </w:rPr>
        <w:t>calciu</w:t>
      </w:r>
      <w:proofErr w:type="spellEnd"/>
      <w:r w:rsidR="00ED3677" w:rsidRPr="00ED3677">
        <w:rPr>
          <w:sz w:val="24"/>
          <w:szCs w:val="24"/>
        </w:rPr>
        <w:t xml:space="preserve">, </w:t>
      </w:r>
      <w:r w:rsidR="00ED3677" w:rsidRPr="00414FBC">
        <w:rPr>
          <w:b/>
          <w:bCs/>
          <w:i/>
          <w:iCs/>
          <w:sz w:val="24"/>
          <w:szCs w:val="24"/>
        </w:rPr>
        <w:t>800 UI/</w:t>
      </w:r>
      <w:proofErr w:type="spellStart"/>
      <w:r w:rsidR="00ED3677" w:rsidRPr="00414FBC">
        <w:rPr>
          <w:b/>
          <w:bCs/>
          <w:i/>
          <w:iCs/>
          <w:sz w:val="24"/>
          <w:szCs w:val="24"/>
        </w:rPr>
        <w:t>zi</w:t>
      </w:r>
      <w:proofErr w:type="spellEnd"/>
      <w:r w:rsidR="00ED3677" w:rsidRPr="00414FBC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="00ED3677" w:rsidRPr="00414FBC">
        <w:rPr>
          <w:b/>
          <w:bCs/>
          <w:i/>
          <w:iCs/>
          <w:sz w:val="24"/>
          <w:szCs w:val="24"/>
        </w:rPr>
        <w:t>vitamina</w:t>
      </w:r>
      <w:proofErr w:type="spellEnd"/>
      <w:r w:rsidR="00ED3677" w:rsidRPr="00414FBC">
        <w:rPr>
          <w:b/>
          <w:bCs/>
          <w:i/>
          <w:iCs/>
          <w:sz w:val="24"/>
          <w:szCs w:val="24"/>
        </w:rPr>
        <w:t xml:space="preserve"> D</w:t>
      </w:r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menținerea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nivelurilor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serice</w:t>
      </w:r>
      <w:proofErr w:type="spellEnd"/>
      <w:r w:rsidR="00ED3677" w:rsidRPr="00ED3677">
        <w:rPr>
          <w:sz w:val="24"/>
          <w:szCs w:val="24"/>
        </w:rPr>
        <w:t xml:space="preserve"> de </w:t>
      </w:r>
      <w:r w:rsidR="00ED3677" w:rsidRPr="004E0AB4">
        <w:rPr>
          <w:b/>
          <w:bCs/>
          <w:i/>
          <w:iCs/>
          <w:sz w:val="24"/>
          <w:szCs w:val="24"/>
        </w:rPr>
        <w:t>25-hidroxivitamina D &gt;50 nmol/L</w:t>
      </w:r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r w:rsidR="00ED3677" w:rsidRPr="004E0AB4">
        <w:rPr>
          <w:b/>
          <w:bCs/>
          <w:i/>
          <w:iCs/>
          <w:sz w:val="24"/>
          <w:szCs w:val="24"/>
        </w:rPr>
        <w:t xml:space="preserve">1 g/kg </w:t>
      </w:r>
      <w:proofErr w:type="spellStart"/>
      <w:r w:rsidR="00ED3677" w:rsidRPr="004E0AB4">
        <w:rPr>
          <w:b/>
          <w:bCs/>
          <w:i/>
          <w:iCs/>
          <w:sz w:val="24"/>
          <w:szCs w:val="24"/>
        </w:rPr>
        <w:t>greutate</w:t>
      </w:r>
      <w:proofErr w:type="spellEnd"/>
      <w:r w:rsidR="00ED3677" w:rsidRPr="004E0AB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D3677" w:rsidRPr="004E0AB4">
        <w:rPr>
          <w:b/>
          <w:bCs/>
          <w:i/>
          <w:iCs/>
          <w:sz w:val="24"/>
          <w:szCs w:val="24"/>
        </w:rPr>
        <w:t>corporală</w:t>
      </w:r>
      <w:proofErr w:type="spellEnd"/>
      <w:r w:rsidR="00ED3677" w:rsidRPr="004E0AB4">
        <w:rPr>
          <w:b/>
          <w:bCs/>
          <w:i/>
          <w:iCs/>
          <w:sz w:val="24"/>
          <w:szCs w:val="24"/>
        </w:rPr>
        <w:t xml:space="preserve"> de </w:t>
      </w:r>
      <w:proofErr w:type="spellStart"/>
      <w:r w:rsidR="00ED3677" w:rsidRPr="004E0AB4">
        <w:rPr>
          <w:b/>
          <w:bCs/>
          <w:i/>
          <w:iCs/>
          <w:sz w:val="24"/>
          <w:szCs w:val="24"/>
        </w:rPr>
        <w:t>proteine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toate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femeile</w:t>
      </w:r>
      <w:proofErr w:type="spellEnd"/>
      <w:r w:rsidR="00ED3677" w:rsidRPr="00ED3677">
        <w:rPr>
          <w:sz w:val="24"/>
          <w:szCs w:val="24"/>
        </w:rPr>
        <w:t xml:space="preserve"> cu </w:t>
      </w:r>
      <w:proofErr w:type="spellStart"/>
      <w:r w:rsidR="00ED3677" w:rsidRPr="00ED3677">
        <w:rPr>
          <w:sz w:val="24"/>
          <w:szCs w:val="24"/>
        </w:rPr>
        <w:t>vârsta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peste</w:t>
      </w:r>
      <w:proofErr w:type="spellEnd"/>
      <w:r w:rsidR="00ED3677" w:rsidRPr="00ED3677">
        <w:rPr>
          <w:sz w:val="24"/>
          <w:szCs w:val="24"/>
        </w:rPr>
        <w:t xml:space="preserve"> 50 de an</w:t>
      </w:r>
      <w:r w:rsidR="004E0AB4">
        <w:rPr>
          <w:sz w:val="24"/>
          <w:szCs w:val="24"/>
        </w:rPr>
        <w:t xml:space="preserve">i,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prevenirea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deteriorării</w:t>
      </w:r>
      <w:proofErr w:type="spellEnd"/>
      <w:r w:rsidR="004E0AB4">
        <w:rPr>
          <w:sz w:val="24"/>
          <w:szCs w:val="24"/>
        </w:rPr>
        <w:t xml:space="preserve"> </w:t>
      </w:r>
      <w:proofErr w:type="spellStart"/>
      <w:r w:rsidR="004E0AB4" w:rsidRPr="00ED3677">
        <w:rPr>
          <w:sz w:val="24"/>
          <w:szCs w:val="24"/>
        </w:rPr>
        <w:t>sănătății</w:t>
      </w:r>
      <w:proofErr w:type="spellEnd"/>
      <w:r w:rsidR="004E0AB4" w:rsidRPr="00ED3677">
        <w:rPr>
          <w:sz w:val="24"/>
          <w:szCs w:val="24"/>
        </w:rPr>
        <w:t xml:space="preserve"> </w:t>
      </w:r>
      <w:proofErr w:type="spellStart"/>
      <w:r w:rsidR="004E0AB4" w:rsidRPr="00ED3677">
        <w:rPr>
          <w:sz w:val="24"/>
          <w:szCs w:val="24"/>
        </w:rPr>
        <w:t>musculo-scheletice</w:t>
      </w:r>
      <w:proofErr w:type="spellEnd"/>
      <w:r w:rsidR="004E0AB4" w:rsidRPr="00ED3677">
        <w:rPr>
          <w:sz w:val="24"/>
          <w:szCs w:val="24"/>
        </w:rPr>
        <w:t xml:space="preserve"> </w:t>
      </w:r>
      <w:r w:rsidR="00ED3677" w:rsidRPr="00ED3677">
        <w:rPr>
          <w:sz w:val="24"/>
          <w:szCs w:val="24"/>
        </w:rPr>
        <w:t xml:space="preserve">legate de </w:t>
      </w:r>
      <w:proofErr w:type="spellStart"/>
      <w:r w:rsidR="00ED3677" w:rsidRPr="00ED3677">
        <w:rPr>
          <w:sz w:val="24"/>
          <w:szCs w:val="24"/>
        </w:rPr>
        <w:t>vârstă</w:t>
      </w:r>
      <w:proofErr w:type="spellEnd"/>
      <w:r w:rsidR="005D1447">
        <w:rPr>
          <w:sz w:val="24"/>
          <w:szCs w:val="24"/>
        </w:rPr>
        <w:t xml:space="preserve"> [2].</w:t>
      </w:r>
    </w:p>
    <w:p w14:paraId="7FFCFC5B" w14:textId="48D6D582" w:rsidR="00ED3677" w:rsidRDefault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Deși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terapia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medicamentoasă</w:t>
      </w:r>
      <w:proofErr w:type="spellEnd"/>
      <w:r w:rsidRPr="00ED3677">
        <w:rPr>
          <w:sz w:val="24"/>
          <w:szCs w:val="24"/>
        </w:rPr>
        <w:t xml:space="preserve"> pare a fi </w:t>
      </w:r>
      <w:proofErr w:type="spellStart"/>
      <w:r w:rsidRPr="00ED3677">
        <w:rPr>
          <w:sz w:val="24"/>
          <w:szCs w:val="24"/>
        </w:rPr>
        <w:t>opțiunea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primă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linie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reducerea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riscului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fracturi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vârstnici</w:t>
      </w:r>
      <w:proofErr w:type="spellEnd"/>
      <w:r w:rsidRPr="00ED3677">
        <w:rPr>
          <w:sz w:val="24"/>
          <w:szCs w:val="24"/>
        </w:rPr>
        <w:t xml:space="preserve">, nu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întotdeauna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fezabilă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iar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modificările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dietetice</w:t>
      </w:r>
      <w:proofErr w:type="spellEnd"/>
      <w:r w:rsidRPr="00ED3677">
        <w:rPr>
          <w:sz w:val="24"/>
          <w:szCs w:val="24"/>
        </w:rPr>
        <w:t xml:space="preserve"> -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special, </w:t>
      </w:r>
      <w:proofErr w:type="spellStart"/>
      <w:r w:rsidRPr="00ED3677">
        <w:rPr>
          <w:sz w:val="24"/>
          <w:szCs w:val="24"/>
        </w:rPr>
        <w:t>creșterea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aportului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- pot fi o </w:t>
      </w:r>
      <w:proofErr w:type="spellStart"/>
      <w:r w:rsidRPr="00ED3677">
        <w:rPr>
          <w:sz w:val="24"/>
          <w:szCs w:val="24"/>
        </w:rPr>
        <w:t>opțiune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pragmatică</w:t>
      </w:r>
      <w:proofErr w:type="spellEnd"/>
      <w:r w:rsidR="005D1447">
        <w:rPr>
          <w:sz w:val="24"/>
          <w:szCs w:val="24"/>
        </w:rPr>
        <w:t xml:space="preserve"> [3].</w:t>
      </w:r>
    </w:p>
    <w:p w14:paraId="42BACD37" w14:textId="78074B1B" w:rsidR="004E0AB4" w:rsidRDefault="004E0AB4">
      <w:pPr>
        <w:rPr>
          <w:b/>
          <w:bCs/>
          <w:color w:val="00B050"/>
          <w:sz w:val="24"/>
          <w:szCs w:val="24"/>
          <w:shd w:val="clear" w:color="auto" w:fill="FFFFFF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376"/>
        <w:gridCol w:w="1866"/>
      </w:tblGrid>
      <w:tr w:rsidR="002429A5" w:rsidRPr="00B011BD" w14:paraId="506C8C55" w14:textId="77777777" w:rsidTr="00B011BD">
        <w:trPr>
          <w:tblHeader/>
        </w:trPr>
        <w:tc>
          <w:tcPr>
            <w:tcW w:w="0" w:type="auto"/>
            <w:shd w:val="clear" w:color="auto" w:fill="CDCDC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91F92" w14:textId="391011BD" w:rsidR="00B011BD" w:rsidRPr="00B011BD" w:rsidRDefault="00F54364" w:rsidP="00B011BD">
            <w:pPr>
              <w:spacing w:before="240" w:after="240" w:line="240" w:lineRule="auto"/>
              <w:jc w:val="center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Grupa</w:t>
            </w:r>
            <w:proofErr w:type="spellEnd"/>
            <w:r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varsta</w:t>
            </w:r>
            <w:proofErr w:type="spellEnd"/>
          </w:p>
        </w:tc>
        <w:tc>
          <w:tcPr>
            <w:tcW w:w="0" w:type="auto"/>
            <w:shd w:val="clear" w:color="auto" w:fill="CDCDC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FEB4" w14:textId="4A26960C" w:rsidR="00B011BD" w:rsidRPr="00B011BD" w:rsidRDefault="00B011BD" w:rsidP="00B011BD">
            <w:pPr>
              <w:spacing w:before="240" w:after="240" w:line="240" w:lineRule="auto"/>
              <w:jc w:val="center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proofErr w:type="spellStart"/>
            <w:r w:rsidRPr="00B011BD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>Calciu</w:t>
            </w:r>
            <w:proofErr w:type="spellEnd"/>
            <w:r w:rsidRPr="00B011BD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 xml:space="preserve"> mg/</w:t>
            </w:r>
            <w:proofErr w:type="spellStart"/>
            <w:r w:rsidR="00F54364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>zi</w:t>
            </w:r>
            <w:proofErr w:type="spellEnd"/>
          </w:p>
        </w:tc>
        <w:tc>
          <w:tcPr>
            <w:tcW w:w="0" w:type="auto"/>
            <w:shd w:val="clear" w:color="auto" w:fill="CDCDC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410FD" w14:textId="0A989085" w:rsidR="00B011BD" w:rsidRPr="00B011BD" w:rsidRDefault="00B011BD" w:rsidP="00B011BD">
            <w:pPr>
              <w:spacing w:before="240" w:after="240" w:line="240" w:lineRule="auto"/>
              <w:jc w:val="center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proofErr w:type="spellStart"/>
            <w:r w:rsidRPr="00B011BD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>Vitamin</w:t>
            </w:r>
            <w:r w:rsidR="00F54364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>a</w:t>
            </w:r>
            <w:proofErr w:type="spellEnd"/>
            <w:r w:rsidRPr="00B011BD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 xml:space="preserve"> D (</w:t>
            </w:r>
            <w:r w:rsidR="00F54364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>UI</w:t>
            </w:r>
            <w:r w:rsidRPr="00B011BD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>/</w:t>
            </w:r>
            <w:proofErr w:type="spellStart"/>
            <w:r w:rsidR="00F54364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>zi</w:t>
            </w:r>
            <w:proofErr w:type="spellEnd"/>
            <w:r w:rsidRPr="00B011BD">
              <w:rPr>
                <w:rFonts w:ascii="Helvetica" w:eastAsia="Times New Roman" w:hAnsi="Helvetica" w:cs="Arial"/>
                <w:b/>
                <w:bCs/>
                <w:color w:val="545454"/>
                <w:sz w:val="21"/>
                <w:szCs w:val="21"/>
              </w:rPr>
              <w:t>)</w:t>
            </w:r>
          </w:p>
        </w:tc>
      </w:tr>
      <w:tr w:rsidR="002429A5" w:rsidRPr="00B011BD" w14:paraId="403DA4BC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06B39" w14:textId="7A28A584" w:rsidR="00B011BD" w:rsidRPr="00B011BD" w:rsidRDefault="00F54364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0-6 </w:t>
            </w:r>
            <w:proofErr w:type="spellStart"/>
            <w:r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luni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E5B72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71A6D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400</w:t>
            </w:r>
          </w:p>
        </w:tc>
      </w:tr>
      <w:tr w:rsidR="002429A5" w:rsidRPr="00B011BD" w14:paraId="683E2F5E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591AC" w14:textId="460A67F3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12 </w:t>
            </w:r>
            <w:proofErr w:type="spellStart"/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luni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3100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EABB6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400</w:t>
            </w:r>
          </w:p>
        </w:tc>
      </w:tr>
      <w:tr w:rsidR="002429A5" w:rsidRPr="00B011BD" w14:paraId="34EB4AF8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C2994" w14:textId="62CB0113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lastRenderedPageBreak/>
              <w:t>1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3 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3D2FB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1B436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45015E8F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7CD48" w14:textId="738E407E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4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8 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B1E0B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C727F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54058F4F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5676B" w14:textId="3A9C99AC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9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13 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D5B0C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1,300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AB9C5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35E1FA62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7B43F" w14:textId="574A6C73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14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18 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AB9F7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1,300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D13EC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7AA6127B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F5D8A" w14:textId="5CF1777A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19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30 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44C1A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85A88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0027E091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FFB48" w14:textId="0ECB5546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31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50 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7EA12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BAA7A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0350E0AF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ED0C7" w14:textId="143361F9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51-70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 ani - </w:t>
            </w:r>
            <w:proofErr w:type="spellStart"/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Barbati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C1B51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0BD09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272D0F5D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847F4" w14:textId="795BFA2C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51-70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 ani – </w:t>
            </w:r>
            <w:proofErr w:type="spellStart"/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Femei</w:t>
            </w:r>
            <w:proofErr w:type="spellEnd"/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D4631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1,200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A9B86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481DCFFA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338A8" w14:textId="47D35F53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&gt;70 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13EA7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1,200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D5A4A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800</w:t>
            </w:r>
          </w:p>
        </w:tc>
      </w:tr>
      <w:tr w:rsidR="002429A5" w:rsidRPr="00B011BD" w14:paraId="1F6709D0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096D7" w14:textId="7C92028D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14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18 </w:t>
            </w:r>
            <w:r w:rsidR="00F54364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, </w:t>
            </w:r>
            <w:proofErr w:type="spellStart"/>
            <w:r w:rsidR="002429A5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sarcina</w:t>
            </w:r>
            <w:proofErr w:type="spellEnd"/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/</w:t>
            </w:r>
            <w:proofErr w:type="spellStart"/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lactat</w:t>
            </w:r>
            <w:r w:rsidR="002429A5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ie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79AF6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1,300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09593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  <w:tr w:rsidR="002429A5" w:rsidRPr="00B011BD" w14:paraId="09890DAA" w14:textId="77777777" w:rsidTr="00B011B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02922" w14:textId="1688E2AB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19</w:t>
            </w:r>
            <w:r w:rsidR="002429A5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-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50 </w:t>
            </w:r>
            <w:r w:rsidR="002429A5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ani,</w:t>
            </w: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 xml:space="preserve"> </w:t>
            </w:r>
            <w:proofErr w:type="spellStart"/>
            <w:r w:rsidR="002429A5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sarcina</w:t>
            </w:r>
            <w:proofErr w:type="spellEnd"/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/</w:t>
            </w:r>
            <w:proofErr w:type="spellStart"/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lactat</w:t>
            </w:r>
            <w:r w:rsidR="002429A5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ie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6DC82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1,000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65B4A" w14:textId="77777777" w:rsidR="00B011BD" w:rsidRPr="00B011BD" w:rsidRDefault="00B011BD" w:rsidP="00B011BD">
            <w:pPr>
              <w:spacing w:before="240" w:after="240" w:line="240" w:lineRule="auto"/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</w:pPr>
            <w:r w:rsidRPr="00B011BD">
              <w:rPr>
                <w:rFonts w:ascii="Helvetica" w:eastAsia="Times New Roman" w:hAnsi="Helvetica" w:cs="Arial"/>
                <w:color w:val="545454"/>
                <w:sz w:val="21"/>
                <w:szCs w:val="21"/>
              </w:rPr>
              <w:t>600</w:t>
            </w:r>
          </w:p>
        </w:tc>
      </w:tr>
    </w:tbl>
    <w:p w14:paraId="69DDD5E6" w14:textId="37C5FB29" w:rsidR="00B011BD" w:rsidRPr="00B011BD" w:rsidRDefault="00B011BD" w:rsidP="00B011BD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545454"/>
          <w:sz w:val="21"/>
          <w:szCs w:val="21"/>
        </w:rPr>
      </w:pPr>
      <w:proofErr w:type="spellStart"/>
      <w:r w:rsidRPr="00B011BD">
        <w:rPr>
          <w:rFonts w:ascii="Arial" w:eastAsia="Times New Roman" w:hAnsi="Arial" w:cs="Arial"/>
          <w:i/>
          <w:iCs/>
          <w:color w:val="545454"/>
          <w:sz w:val="21"/>
          <w:szCs w:val="21"/>
        </w:rPr>
        <w:t>Definiti</w:t>
      </w:r>
      <w:r w:rsidR="002429A5">
        <w:rPr>
          <w:rFonts w:ascii="Arial" w:eastAsia="Times New Roman" w:hAnsi="Arial" w:cs="Arial"/>
          <w:i/>
          <w:iCs/>
          <w:color w:val="545454"/>
          <w:sz w:val="21"/>
          <w:szCs w:val="21"/>
        </w:rPr>
        <w:t>i</w:t>
      </w:r>
      <w:proofErr w:type="spellEnd"/>
      <w:r w:rsidRPr="00B011BD">
        <w:rPr>
          <w:rFonts w:ascii="Arial" w:eastAsia="Times New Roman" w:hAnsi="Arial" w:cs="Arial"/>
          <w:i/>
          <w:iCs/>
          <w:color w:val="545454"/>
          <w:sz w:val="21"/>
          <w:szCs w:val="21"/>
        </w:rPr>
        <w:t xml:space="preserve">: mg = </w:t>
      </w:r>
      <w:proofErr w:type="spellStart"/>
      <w:r w:rsidRPr="00B011BD">
        <w:rPr>
          <w:rFonts w:ascii="Arial" w:eastAsia="Times New Roman" w:hAnsi="Arial" w:cs="Arial"/>
          <w:i/>
          <w:iCs/>
          <w:color w:val="545454"/>
          <w:sz w:val="21"/>
          <w:szCs w:val="21"/>
        </w:rPr>
        <w:t>milligram</w:t>
      </w:r>
      <w:r w:rsidR="002429A5">
        <w:rPr>
          <w:rFonts w:ascii="Arial" w:eastAsia="Times New Roman" w:hAnsi="Arial" w:cs="Arial"/>
          <w:i/>
          <w:iCs/>
          <w:color w:val="545454"/>
          <w:sz w:val="21"/>
          <w:szCs w:val="21"/>
        </w:rPr>
        <w:t>e</w:t>
      </w:r>
      <w:proofErr w:type="spellEnd"/>
      <w:r w:rsidRPr="00B011BD">
        <w:rPr>
          <w:rFonts w:ascii="Arial" w:eastAsia="Times New Roman" w:hAnsi="Arial" w:cs="Arial"/>
          <w:i/>
          <w:iCs/>
          <w:color w:val="545454"/>
          <w:sz w:val="21"/>
          <w:szCs w:val="21"/>
        </w:rPr>
        <w:t>; U</w:t>
      </w:r>
      <w:r w:rsidR="002429A5">
        <w:rPr>
          <w:rFonts w:ascii="Arial" w:eastAsia="Times New Roman" w:hAnsi="Arial" w:cs="Arial"/>
          <w:i/>
          <w:iCs/>
          <w:color w:val="545454"/>
          <w:sz w:val="21"/>
          <w:szCs w:val="21"/>
        </w:rPr>
        <w:t>I</w:t>
      </w:r>
      <w:r w:rsidRPr="00B011BD">
        <w:rPr>
          <w:rFonts w:ascii="Arial" w:eastAsia="Times New Roman" w:hAnsi="Arial" w:cs="Arial"/>
          <w:i/>
          <w:iCs/>
          <w:color w:val="545454"/>
          <w:sz w:val="21"/>
          <w:szCs w:val="21"/>
        </w:rPr>
        <w:t xml:space="preserve"> = </w:t>
      </w:r>
      <w:proofErr w:type="spellStart"/>
      <w:r w:rsidR="002429A5">
        <w:rPr>
          <w:rFonts w:ascii="Arial" w:eastAsia="Times New Roman" w:hAnsi="Arial" w:cs="Arial"/>
          <w:i/>
          <w:iCs/>
          <w:color w:val="545454"/>
          <w:sz w:val="21"/>
          <w:szCs w:val="21"/>
        </w:rPr>
        <w:t>Unitati</w:t>
      </w:r>
      <w:proofErr w:type="spellEnd"/>
      <w:r w:rsidR="002429A5">
        <w:rPr>
          <w:rFonts w:ascii="Arial" w:eastAsia="Times New Roman" w:hAnsi="Arial" w:cs="Arial"/>
          <w:i/>
          <w:iCs/>
          <w:color w:val="545454"/>
          <w:sz w:val="21"/>
          <w:szCs w:val="21"/>
        </w:rPr>
        <w:t xml:space="preserve"> </w:t>
      </w:r>
      <w:proofErr w:type="spellStart"/>
      <w:r w:rsidRPr="00B011BD">
        <w:rPr>
          <w:rFonts w:ascii="Arial" w:eastAsia="Times New Roman" w:hAnsi="Arial" w:cs="Arial"/>
          <w:i/>
          <w:iCs/>
          <w:color w:val="545454"/>
          <w:sz w:val="21"/>
          <w:szCs w:val="21"/>
        </w:rPr>
        <w:t>International</w:t>
      </w:r>
      <w:r w:rsidR="002429A5">
        <w:rPr>
          <w:rFonts w:ascii="Arial" w:eastAsia="Times New Roman" w:hAnsi="Arial" w:cs="Arial"/>
          <w:i/>
          <w:iCs/>
          <w:color w:val="545454"/>
          <w:sz w:val="21"/>
          <w:szCs w:val="21"/>
        </w:rPr>
        <w:t>e</w:t>
      </w:r>
      <w:proofErr w:type="spellEnd"/>
    </w:p>
    <w:p w14:paraId="7E63B9A9" w14:textId="6314C879" w:rsidR="00B011BD" w:rsidRPr="00B011BD" w:rsidRDefault="00B011BD" w:rsidP="00B011BD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545454"/>
          <w:sz w:val="21"/>
          <w:szCs w:val="21"/>
        </w:rPr>
      </w:pPr>
      <w:proofErr w:type="spellStart"/>
      <w:r w:rsidRPr="00B011BD">
        <w:rPr>
          <w:rFonts w:ascii="Arial" w:eastAsia="Times New Roman" w:hAnsi="Arial" w:cs="Arial"/>
          <w:i/>
          <w:iCs/>
          <w:color w:val="545454"/>
          <w:sz w:val="21"/>
          <w:szCs w:val="21"/>
        </w:rPr>
        <w:t>S</w:t>
      </w:r>
      <w:r w:rsidR="002429A5">
        <w:rPr>
          <w:rFonts w:ascii="Arial" w:eastAsia="Times New Roman" w:hAnsi="Arial" w:cs="Arial"/>
          <w:i/>
          <w:iCs/>
          <w:color w:val="545454"/>
          <w:sz w:val="21"/>
          <w:szCs w:val="21"/>
        </w:rPr>
        <w:t>ursa</w:t>
      </w:r>
      <w:proofErr w:type="spellEnd"/>
      <w:r w:rsidRPr="00B011BD">
        <w:rPr>
          <w:rFonts w:ascii="Arial" w:eastAsia="Times New Roman" w:hAnsi="Arial" w:cs="Arial"/>
          <w:i/>
          <w:iCs/>
          <w:color w:val="545454"/>
          <w:sz w:val="21"/>
          <w:szCs w:val="21"/>
        </w:rPr>
        <w:t>: National Institutes of Health, Office of Dietary Supplements, November 2018</w:t>
      </w:r>
    </w:p>
    <w:p w14:paraId="2FED8172" w14:textId="77777777" w:rsidR="00B011BD" w:rsidRPr="004E0AB4" w:rsidRDefault="00B011BD">
      <w:pPr>
        <w:rPr>
          <w:b/>
          <w:bCs/>
          <w:color w:val="00B050"/>
          <w:sz w:val="24"/>
          <w:szCs w:val="24"/>
        </w:rPr>
      </w:pPr>
    </w:p>
    <w:p w14:paraId="7AB53C0B" w14:textId="77777777" w:rsidR="00ED3677" w:rsidRPr="004E0AB4" w:rsidRDefault="00ED3677" w:rsidP="00ED3677">
      <w:pPr>
        <w:rPr>
          <w:b/>
          <w:bCs/>
          <w:sz w:val="24"/>
          <w:szCs w:val="24"/>
        </w:rPr>
      </w:pPr>
      <w:proofErr w:type="spellStart"/>
      <w:r w:rsidRPr="004E0AB4">
        <w:rPr>
          <w:b/>
          <w:bCs/>
          <w:sz w:val="24"/>
          <w:szCs w:val="24"/>
        </w:rPr>
        <w:t>Osteoporoza</w:t>
      </w:r>
      <w:proofErr w:type="spellEnd"/>
      <w:r w:rsidRPr="004E0AB4">
        <w:rPr>
          <w:b/>
          <w:bCs/>
          <w:sz w:val="24"/>
          <w:szCs w:val="24"/>
        </w:rPr>
        <w:t xml:space="preserve"> </w:t>
      </w:r>
      <w:proofErr w:type="spellStart"/>
      <w:r w:rsidRPr="004E0AB4">
        <w:rPr>
          <w:b/>
          <w:bCs/>
          <w:sz w:val="24"/>
          <w:szCs w:val="24"/>
        </w:rPr>
        <w:t>și</w:t>
      </w:r>
      <w:proofErr w:type="spellEnd"/>
      <w:r w:rsidRPr="004E0AB4">
        <w:rPr>
          <w:b/>
          <w:bCs/>
          <w:sz w:val="24"/>
          <w:szCs w:val="24"/>
        </w:rPr>
        <w:t xml:space="preserve"> </w:t>
      </w:r>
      <w:proofErr w:type="spellStart"/>
      <w:r w:rsidRPr="004E0AB4">
        <w:rPr>
          <w:b/>
          <w:bCs/>
          <w:sz w:val="24"/>
          <w:szCs w:val="24"/>
        </w:rPr>
        <w:t>substanțe</w:t>
      </w:r>
      <w:proofErr w:type="spellEnd"/>
      <w:r w:rsidRPr="004E0AB4">
        <w:rPr>
          <w:b/>
          <w:bCs/>
          <w:sz w:val="24"/>
          <w:szCs w:val="24"/>
        </w:rPr>
        <w:t xml:space="preserve"> nutritive </w:t>
      </w:r>
      <w:proofErr w:type="spellStart"/>
      <w:r w:rsidRPr="004E0AB4">
        <w:rPr>
          <w:b/>
          <w:bCs/>
          <w:sz w:val="24"/>
          <w:szCs w:val="24"/>
        </w:rPr>
        <w:t>conexe</w:t>
      </w:r>
      <w:proofErr w:type="spellEnd"/>
    </w:p>
    <w:p w14:paraId="15CD5B6C" w14:textId="4C97040A" w:rsidR="00ED3677" w:rsidRPr="004E0AB4" w:rsidRDefault="00ED3677" w:rsidP="00ED3677">
      <w:pPr>
        <w:rPr>
          <w:b/>
          <w:bCs/>
          <w:sz w:val="24"/>
          <w:szCs w:val="24"/>
        </w:rPr>
      </w:pPr>
      <w:proofErr w:type="spellStart"/>
      <w:r w:rsidRPr="004E0AB4">
        <w:rPr>
          <w:b/>
          <w:bCs/>
          <w:sz w:val="24"/>
          <w:szCs w:val="24"/>
        </w:rPr>
        <w:t>Calciu</w:t>
      </w:r>
      <w:r w:rsidR="004E0AB4" w:rsidRPr="004E0AB4">
        <w:rPr>
          <w:b/>
          <w:bCs/>
          <w:sz w:val="24"/>
          <w:szCs w:val="24"/>
        </w:rPr>
        <w:t>l</w:t>
      </w:r>
      <w:proofErr w:type="spellEnd"/>
      <w:r w:rsidR="002429A5">
        <w:rPr>
          <w:b/>
          <w:bCs/>
          <w:sz w:val="24"/>
          <w:szCs w:val="24"/>
        </w:rPr>
        <w:t xml:space="preserve"> </w:t>
      </w:r>
      <w:proofErr w:type="spellStart"/>
      <w:r w:rsidR="002429A5">
        <w:rPr>
          <w:b/>
          <w:bCs/>
          <w:sz w:val="24"/>
          <w:szCs w:val="24"/>
        </w:rPr>
        <w:t>si</w:t>
      </w:r>
      <w:proofErr w:type="spellEnd"/>
      <w:r w:rsidR="002429A5">
        <w:rPr>
          <w:b/>
          <w:bCs/>
          <w:sz w:val="24"/>
          <w:szCs w:val="24"/>
        </w:rPr>
        <w:t xml:space="preserve"> </w:t>
      </w:r>
      <w:proofErr w:type="spellStart"/>
      <w:r w:rsidRPr="004E0AB4">
        <w:rPr>
          <w:b/>
          <w:bCs/>
          <w:sz w:val="24"/>
          <w:szCs w:val="24"/>
        </w:rPr>
        <w:t>vitamina</w:t>
      </w:r>
      <w:proofErr w:type="spellEnd"/>
      <w:r w:rsidRPr="004E0AB4">
        <w:rPr>
          <w:b/>
          <w:bCs/>
          <w:sz w:val="24"/>
          <w:szCs w:val="24"/>
        </w:rPr>
        <w:t xml:space="preserve"> D</w:t>
      </w:r>
    </w:p>
    <w:p w14:paraId="7C306BEC" w14:textId="77777777" w:rsidR="00EB7520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Calciul</w:t>
      </w:r>
      <w:proofErr w:type="spellEnd"/>
      <w:r w:rsidRPr="00ED3677">
        <w:rPr>
          <w:sz w:val="24"/>
          <w:szCs w:val="24"/>
        </w:rPr>
        <w:t xml:space="preserve"> fac</w:t>
      </w:r>
      <w:r w:rsidR="007C1647">
        <w:rPr>
          <w:sz w:val="24"/>
          <w:szCs w:val="24"/>
        </w:rPr>
        <w:t>e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parte</w:t>
      </w:r>
      <w:proofErr w:type="spellEnd"/>
      <w:r w:rsidRPr="00ED3677">
        <w:rPr>
          <w:sz w:val="24"/>
          <w:szCs w:val="24"/>
        </w:rPr>
        <w:t xml:space="preserve"> din </w:t>
      </w:r>
      <w:proofErr w:type="spellStart"/>
      <w:r w:rsidRPr="00ED3677">
        <w:rPr>
          <w:sz w:val="24"/>
          <w:szCs w:val="24"/>
        </w:rPr>
        <w:t>matricea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minerală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osoasă</w:t>
      </w:r>
      <w:proofErr w:type="spellEnd"/>
      <w:r w:rsidRPr="00ED3677">
        <w:rPr>
          <w:sz w:val="24"/>
          <w:szCs w:val="24"/>
        </w:rPr>
        <w:t xml:space="preserve"> sub </w:t>
      </w:r>
      <w:proofErr w:type="spellStart"/>
      <w:r w:rsidRPr="00ED3677">
        <w:rPr>
          <w:sz w:val="24"/>
          <w:szCs w:val="24"/>
        </w:rPr>
        <w:t>formă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fosfat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 (</w:t>
      </w:r>
      <w:proofErr w:type="spellStart"/>
      <w:r w:rsidRPr="00ED3677">
        <w:rPr>
          <w:sz w:val="24"/>
          <w:szCs w:val="24"/>
        </w:rPr>
        <w:t>cristale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hidroxiapatită</w:t>
      </w:r>
      <w:proofErr w:type="spellEnd"/>
      <w:r w:rsidRPr="00ED3677">
        <w:rPr>
          <w:sz w:val="24"/>
          <w:szCs w:val="24"/>
        </w:rPr>
        <w:t>)</w:t>
      </w:r>
      <w:r w:rsidR="007C1647">
        <w:rPr>
          <w:sz w:val="24"/>
          <w:szCs w:val="24"/>
        </w:rPr>
        <w:t xml:space="preserve">, </w:t>
      </w:r>
      <w:proofErr w:type="spellStart"/>
      <w:r w:rsidR="007C1647">
        <w:rPr>
          <w:sz w:val="24"/>
          <w:szCs w:val="24"/>
        </w:rPr>
        <w:t>fiind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necesar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rezistența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osoasă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Cel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bun mod de </w:t>
      </w:r>
      <w:proofErr w:type="gramStart"/>
      <w:r w:rsidRPr="00ED3677">
        <w:rPr>
          <w:sz w:val="24"/>
          <w:szCs w:val="24"/>
        </w:rPr>
        <w:t>a</w:t>
      </w:r>
      <w:proofErr w:type="gram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obține</w:t>
      </w:r>
      <w:proofErr w:type="spellEnd"/>
      <w:r w:rsidRPr="00ED3677">
        <w:rPr>
          <w:sz w:val="24"/>
          <w:szCs w:val="24"/>
        </w:rPr>
        <w:t xml:space="preserve"> un </w:t>
      </w:r>
      <w:proofErr w:type="spellStart"/>
      <w:r w:rsidRPr="00ED3677">
        <w:rPr>
          <w:sz w:val="24"/>
          <w:szCs w:val="24"/>
        </w:rPr>
        <w:t>aport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adecvat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aderarea</w:t>
      </w:r>
      <w:proofErr w:type="spellEnd"/>
      <w:r w:rsidRPr="00ED3677">
        <w:rPr>
          <w:sz w:val="24"/>
          <w:szCs w:val="24"/>
        </w:rPr>
        <w:t xml:space="preserve"> la o </w:t>
      </w:r>
      <w:proofErr w:type="spellStart"/>
      <w:r w:rsidRPr="00ED3677">
        <w:rPr>
          <w:sz w:val="24"/>
          <w:szCs w:val="24"/>
        </w:rPr>
        <w:t>dieta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sanatoas</w:t>
      </w:r>
      <w:r w:rsidR="007C1647" w:rsidRPr="00ED3677">
        <w:rPr>
          <w:sz w:val="24"/>
          <w:szCs w:val="24"/>
        </w:rPr>
        <w:t>ă</w:t>
      </w:r>
      <w:proofErr w:type="spellEnd"/>
      <w:r w:rsidRPr="00ED3677">
        <w:rPr>
          <w:sz w:val="24"/>
          <w:szCs w:val="24"/>
        </w:rPr>
        <w:t xml:space="preserve">. Cu </w:t>
      </w:r>
      <w:proofErr w:type="spellStart"/>
      <w:r w:rsidRPr="00ED3677">
        <w:rPr>
          <w:sz w:val="24"/>
          <w:szCs w:val="24"/>
        </w:rPr>
        <w:t>toate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acestea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uneori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sursele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alimentare</w:t>
      </w:r>
      <w:proofErr w:type="spellEnd"/>
      <w:r w:rsidRPr="00ED3677">
        <w:rPr>
          <w:sz w:val="24"/>
          <w:szCs w:val="24"/>
        </w:rPr>
        <w:t xml:space="preserve"> sunt </w:t>
      </w:r>
      <w:proofErr w:type="spellStart"/>
      <w:r w:rsidRPr="00ED3677">
        <w:rPr>
          <w:sz w:val="24"/>
          <w:szCs w:val="24"/>
        </w:rPr>
        <w:t>insuficiente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sau</w:t>
      </w:r>
      <w:proofErr w:type="spellEnd"/>
      <w:r w:rsidRPr="00ED3677">
        <w:rPr>
          <w:sz w:val="24"/>
          <w:szCs w:val="24"/>
        </w:rPr>
        <w:t xml:space="preserve"> slab tolerate, </w:t>
      </w:r>
      <w:proofErr w:type="spellStart"/>
      <w:r w:rsidRPr="00ED3677">
        <w:rPr>
          <w:sz w:val="24"/>
          <w:szCs w:val="24"/>
        </w:rPr>
        <w:t>situații</w:t>
      </w:r>
      <w:proofErr w:type="spellEnd"/>
      <w:r w:rsidR="002A1EA5">
        <w:rPr>
          <w:sz w:val="24"/>
          <w:szCs w:val="24"/>
        </w:rPr>
        <w:t xml:space="preserve"> </w:t>
      </w:r>
      <w:proofErr w:type="spellStart"/>
      <w:r w:rsidR="002A1EA5" w:rsidRPr="00ED3677">
        <w:rPr>
          <w:sz w:val="24"/>
          <w:szCs w:val="24"/>
        </w:rPr>
        <w:t>în</w:t>
      </w:r>
      <w:proofErr w:type="spellEnd"/>
      <w:r w:rsidR="002A1EA5">
        <w:rPr>
          <w:sz w:val="24"/>
          <w:szCs w:val="24"/>
        </w:rPr>
        <w:t xml:space="preserve"> care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suplimentarea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farmacologică</w:t>
      </w:r>
      <w:proofErr w:type="spellEnd"/>
      <w:r w:rsidRPr="00ED3677">
        <w:rPr>
          <w:sz w:val="24"/>
          <w:szCs w:val="24"/>
        </w:rPr>
        <w:t xml:space="preserve"> </w:t>
      </w:r>
      <w:r w:rsidR="002A1EA5">
        <w:rPr>
          <w:sz w:val="24"/>
          <w:szCs w:val="24"/>
        </w:rPr>
        <w:t>a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calciu</w:t>
      </w:r>
      <w:r w:rsidR="002A1EA5">
        <w:rPr>
          <w:sz w:val="24"/>
          <w:szCs w:val="24"/>
        </w:rPr>
        <w:t>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putea</w:t>
      </w:r>
      <w:proofErr w:type="spellEnd"/>
      <w:r w:rsidRPr="00ED3677">
        <w:rPr>
          <w:sz w:val="24"/>
          <w:szCs w:val="24"/>
        </w:rPr>
        <w:t xml:space="preserve"> fi </w:t>
      </w:r>
      <w:proofErr w:type="spellStart"/>
      <w:r w:rsidRPr="00ED3677">
        <w:rPr>
          <w:sz w:val="24"/>
          <w:szCs w:val="24"/>
        </w:rPr>
        <w:t>util</w:t>
      </w:r>
      <w:r w:rsidR="007C1647" w:rsidRPr="00ED3677">
        <w:rPr>
          <w:sz w:val="24"/>
          <w:szCs w:val="24"/>
        </w:rPr>
        <w:t>ă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Aceasta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recomandarea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majorității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orientărilor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privind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practica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clinică</w:t>
      </w:r>
      <w:proofErr w:type="spellEnd"/>
      <w:r w:rsidRPr="00ED3677">
        <w:rPr>
          <w:sz w:val="24"/>
          <w:szCs w:val="24"/>
        </w:rPr>
        <w:t xml:space="preserve">. Cu </w:t>
      </w:r>
      <w:proofErr w:type="spellStart"/>
      <w:r w:rsidRPr="00ED3677">
        <w:rPr>
          <w:sz w:val="24"/>
          <w:szCs w:val="24"/>
        </w:rPr>
        <w:t>toate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acestea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unii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autori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critică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această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recomandare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datorită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eficacității</w:t>
      </w:r>
      <w:proofErr w:type="spellEnd"/>
      <w:r w:rsidRPr="00ED3677">
        <w:rPr>
          <w:sz w:val="24"/>
          <w:szCs w:val="24"/>
        </w:rPr>
        <w:t xml:space="preserve"> sale </w:t>
      </w:r>
      <w:proofErr w:type="spellStart"/>
      <w:r w:rsidRPr="00ED3677">
        <w:rPr>
          <w:sz w:val="24"/>
          <w:szCs w:val="24"/>
        </w:rPr>
        <w:t>scăzute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posibilității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efecte</w:t>
      </w:r>
      <w:proofErr w:type="spellEnd"/>
      <w:r w:rsidRPr="00ED3677">
        <w:rPr>
          <w:sz w:val="24"/>
          <w:szCs w:val="24"/>
        </w:rPr>
        <w:t xml:space="preserve"> adverse. </w:t>
      </w:r>
    </w:p>
    <w:p w14:paraId="02390798" w14:textId="6E9A34DD" w:rsidR="00ED3677" w:rsidRPr="00ED3677" w:rsidRDefault="002A1EA5" w:rsidP="00ED3677">
      <w:pPr>
        <w:rPr>
          <w:sz w:val="24"/>
          <w:szCs w:val="24"/>
        </w:rPr>
      </w:pPr>
      <w:r>
        <w:rPr>
          <w:sz w:val="24"/>
          <w:szCs w:val="24"/>
        </w:rPr>
        <w:t xml:space="preserve">In general, </w:t>
      </w:r>
      <w:proofErr w:type="spellStart"/>
      <w:r>
        <w:rPr>
          <w:sz w:val="24"/>
          <w:szCs w:val="24"/>
        </w:rPr>
        <w:t>sursele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calciu</w:t>
      </w:r>
      <w:proofErr w:type="spellEnd"/>
      <w:r>
        <w:rPr>
          <w:sz w:val="24"/>
          <w:szCs w:val="24"/>
        </w:rPr>
        <w:t xml:space="preserve"> dietetic sunt considerate </w:t>
      </w:r>
      <w:proofErr w:type="spellStart"/>
      <w:r w:rsidR="00EB7520">
        <w:rPr>
          <w:sz w:val="24"/>
          <w:szCs w:val="24"/>
        </w:rPr>
        <w:t>inca</w:t>
      </w:r>
      <w:proofErr w:type="spellEnd"/>
      <w:r w:rsidR="00EB7520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produsele</w:t>
      </w:r>
      <w:proofErr w:type="spellEnd"/>
      <w:r w:rsidR="00ED3677" w:rsidRPr="00ED3677">
        <w:rPr>
          <w:sz w:val="24"/>
          <w:szCs w:val="24"/>
        </w:rPr>
        <w:t xml:space="preserve"> lactate (</w:t>
      </w:r>
      <w:proofErr w:type="spellStart"/>
      <w:r w:rsidR="00ED3677" w:rsidRPr="00ED3677">
        <w:rPr>
          <w:sz w:val="24"/>
          <w:szCs w:val="24"/>
        </w:rPr>
        <w:t>lapte</w:t>
      </w:r>
      <w:proofErr w:type="spellEnd"/>
      <w:r w:rsidR="00ED3677" w:rsidRPr="00ED3677">
        <w:rPr>
          <w:sz w:val="24"/>
          <w:szCs w:val="24"/>
        </w:rPr>
        <w:t xml:space="preserve">, </w:t>
      </w:r>
      <w:proofErr w:type="spellStart"/>
      <w:r w:rsidR="00ED3677" w:rsidRPr="00ED3677">
        <w:rPr>
          <w:sz w:val="24"/>
          <w:szCs w:val="24"/>
        </w:rPr>
        <w:t>iaurt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brânză</w:t>
      </w:r>
      <w:proofErr w:type="spellEnd"/>
      <w:r w:rsidR="00ED3677" w:rsidRPr="00ED3677">
        <w:rPr>
          <w:sz w:val="24"/>
          <w:szCs w:val="24"/>
        </w:rPr>
        <w:t xml:space="preserve">), </w:t>
      </w:r>
      <w:proofErr w:type="spellStart"/>
      <w:r w:rsidR="00ED3677" w:rsidRPr="00ED3677">
        <w:rPr>
          <w:sz w:val="24"/>
          <w:szCs w:val="24"/>
        </w:rPr>
        <w:t>peștele</w:t>
      </w:r>
      <w:proofErr w:type="spellEnd"/>
      <w:r w:rsidR="00ED3677" w:rsidRPr="00ED3677">
        <w:rPr>
          <w:sz w:val="24"/>
          <w:szCs w:val="24"/>
        </w:rPr>
        <w:t xml:space="preserve"> (</w:t>
      </w:r>
      <w:proofErr w:type="spellStart"/>
      <w:r w:rsidR="00ED3677" w:rsidRPr="00ED3677">
        <w:rPr>
          <w:sz w:val="24"/>
          <w:szCs w:val="24"/>
        </w:rPr>
        <w:t>în</w:t>
      </w:r>
      <w:proofErr w:type="spellEnd"/>
      <w:r w:rsidR="00ED3677" w:rsidRPr="00ED3677">
        <w:rPr>
          <w:sz w:val="24"/>
          <w:szCs w:val="24"/>
        </w:rPr>
        <w:t xml:space="preserve"> special </w:t>
      </w:r>
      <w:proofErr w:type="spellStart"/>
      <w:r w:rsidR="00ED3677" w:rsidRPr="00ED3677">
        <w:rPr>
          <w:sz w:val="24"/>
          <w:szCs w:val="24"/>
        </w:rPr>
        <w:t>sardinele</w:t>
      </w:r>
      <w:proofErr w:type="spellEnd"/>
      <w:r w:rsidR="00ED3677" w:rsidRPr="00ED3677">
        <w:rPr>
          <w:sz w:val="24"/>
          <w:szCs w:val="24"/>
        </w:rPr>
        <w:t xml:space="preserve"> cu </w:t>
      </w:r>
      <w:proofErr w:type="spellStart"/>
      <w:r w:rsidR="00ED3677" w:rsidRPr="00ED3677">
        <w:rPr>
          <w:sz w:val="24"/>
          <w:szCs w:val="24"/>
        </w:rPr>
        <w:t>oase</w:t>
      </w:r>
      <w:proofErr w:type="spellEnd"/>
      <w:r w:rsidR="00ED3677" w:rsidRPr="00ED3677">
        <w:rPr>
          <w:sz w:val="24"/>
          <w:szCs w:val="24"/>
        </w:rPr>
        <w:t xml:space="preserve">), </w:t>
      </w:r>
      <w:proofErr w:type="spellStart"/>
      <w:r w:rsidR="00ED3677" w:rsidRPr="00ED3677">
        <w:rPr>
          <w:sz w:val="24"/>
          <w:szCs w:val="24"/>
        </w:rPr>
        <w:t>leguminoasele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câteva</w:t>
      </w:r>
      <w:proofErr w:type="spellEnd"/>
      <w:r w:rsidR="00ED3677" w:rsidRPr="00ED3677">
        <w:rPr>
          <w:sz w:val="24"/>
          <w:szCs w:val="24"/>
        </w:rPr>
        <w:t xml:space="preserve"> legume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fructe</w:t>
      </w:r>
      <w:proofErr w:type="spellEnd"/>
      <w:r w:rsidR="00ED3677" w:rsidRPr="00ED3677">
        <w:rPr>
          <w:sz w:val="24"/>
          <w:szCs w:val="24"/>
        </w:rPr>
        <w:t xml:space="preserve"> (</w:t>
      </w:r>
      <w:proofErr w:type="spellStart"/>
      <w:r w:rsidR="00ED3677" w:rsidRPr="00ED3677">
        <w:rPr>
          <w:sz w:val="24"/>
          <w:szCs w:val="24"/>
        </w:rPr>
        <w:t>în</w:t>
      </w:r>
      <w:proofErr w:type="spellEnd"/>
      <w:r w:rsidR="00ED3677" w:rsidRPr="00ED3677">
        <w:rPr>
          <w:sz w:val="24"/>
          <w:szCs w:val="24"/>
        </w:rPr>
        <w:t xml:space="preserve"> special </w:t>
      </w:r>
      <w:proofErr w:type="spellStart"/>
      <w:r w:rsidR="00ED3677" w:rsidRPr="00ED3677">
        <w:rPr>
          <w:sz w:val="24"/>
          <w:szCs w:val="24"/>
        </w:rPr>
        <w:t>nucile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semințele</w:t>
      </w:r>
      <w:proofErr w:type="spellEnd"/>
      <w:r w:rsidR="00ED3677" w:rsidRPr="00ED3677">
        <w:rPr>
          <w:sz w:val="24"/>
          <w:szCs w:val="24"/>
        </w:rPr>
        <w:t>)</w:t>
      </w:r>
      <w:r w:rsidR="005D1447">
        <w:rPr>
          <w:sz w:val="24"/>
          <w:szCs w:val="24"/>
        </w:rPr>
        <w:t xml:space="preserve"> [4-7]. </w:t>
      </w:r>
    </w:p>
    <w:p w14:paraId="4C187AD9" w14:textId="3E578890" w:rsidR="00ED3677" w:rsidRPr="00ED3677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Homeostazia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calciului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, predominant, </w:t>
      </w:r>
      <w:proofErr w:type="spellStart"/>
      <w:r w:rsidRPr="00ED3677">
        <w:rPr>
          <w:sz w:val="24"/>
          <w:szCs w:val="24"/>
        </w:rPr>
        <w:t>reglementată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D. Un total de 80-90% din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obținută</w:t>
      </w:r>
      <w:proofErr w:type="spellEnd"/>
      <w:r w:rsidRPr="00ED3677">
        <w:rPr>
          <w:sz w:val="24"/>
          <w:szCs w:val="24"/>
        </w:rPr>
        <w:t xml:space="preserve"> din </w:t>
      </w:r>
      <w:proofErr w:type="spellStart"/>
      <w:r w:rsidRPr="00ED3677">
        <w:rPr>
          <w:sz w:val="24"/>
          <w:szCs w:val="24"/>
        </w:rPr>
        <w:t>sinteza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cutanată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după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expunerea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soare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10-20%, </w:t>
      </w:r>
      <w:proofErr w:type="spellStart"/>
      <w:r w:rsidRPr="00ED3677">
        <w:rPr>
          <w:sz w:val="24"/>
          <w:szCs w:val="24"/>
        </w:rPr>
        <w:t>dintr</w:t>
      </w:r>
      <w:proofErr w:type="spellEnd"/>
      <w:r w:rsidRPr="00ED3677">
        <w:rPr>
          <w:sz w:val="24"/>
          <w:szCs w:val="24"/>
        </w:rPr>
        <w:t xml:space="preserve">-un </w:t>
      </w:r>
      <w:proofErr w:type="spellStart"/>
      <w:r w:rsidRPr="00ED3677">
        <w:rPr>
          <w:sz w:val="24"/>
          <w:szCs w:val="24"/>
        </w:rPr>
        <w:t>număr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limitat</w:t>
      </w:r>
      <w:proofErr w:type="spellEnd"/>
      <w:r w:rsidRPr="00ED3677">
        <w:rPr>
          <w:sz w:val="24"/>
          <w:szCs w:val="24"/>
        </w:rPr>
        <w:t xml:space="preserve"> de alimente, </w:t>
      </w:r>
      <w:r w:rsidR="007C1647">
        <w:rPr>
          <w:sz w:val="24"/>
          <w:szCs w:val="24"/>
        </w:rPr>
        <w:t>cum sunt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peștele</w:t>
      </w:r>
      <w:proofErr w:type="spellEnd"/>
      <w:r w:rsidRPr="00ED3677">
        <w:rPr>
          <w:sz w:val="24"/>
          <w:szCs w:val="24"/>
        </w:rPr>
        <w:t xml:space="preserve"> gras, </w:t>
      </w:r>
      <w:proofErr w:type="spellStart"/>
      <w:r w:rsidRPr="00ED3677">
        <w:rPr>
          <w:sz w:val="24"/>
          <w:szCs w:val="24"/>
        </w:rPr>
        <w:t>ciupercile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unele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produse</w:t>
      </w:r>
      <w:proofErr w:type="spellEnd"/>
      <w:r w:rsidRPr="00ED3677">
        <w:rPr>
          <w:sz w:val="24"/>
          <w:szCs w:val="24"/>
        </w:rPr>
        <w:t xml:space="preserve"> lactate </w:t>
      </w:r>
      <w:proofErr w:type="spellStart"/>
      <w:r w:rsidRPr="00ED3677">
        <w:rPr>
          <w:sz w:val="24"/>
          <w:szCs w:val="24"/>
        </w:rPr>
        <w:t>fortificate</w:t>
      </w:r>
      <w:proofErr w:type="spellEnd"/>
      <w:r w:rsidRPr="00ED3677">
        <w:rPr>
          <w:sz w:val="24"/>
          <w:szCs w:val="24"/>
        </w:rPr>
        <w:t xml:space="preserve">. Cu </w:t>
      </w:r>
      <w:proofErr w:type="spellStart"/>
      <w:r w:rsidRPr="00ED3677">
        <w:rPr>
          <w:sz w:val="24"/>
          <w:szCs w:val="24"/>
        </w:rPr>
        <w:t>toate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acestea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niciun</w:t>
      </w:r>
      <w:proofErr w:type="spellEnd"/>
      <w:r w:rsidRPr="00ED3677">
        <w:rPr>
          <w:sz w:val="24"/>
          <w:szCs w:val="24"/>
        </w:rPr>
        <w:t xml:space="preserve"> aliment nu </w:t>
      </w:r>
      <w:proofErr w:type="spellStart"/>
      <w:r w:rsidRPr="00ED3677">
        <w:rPr>
          <w:sz w:val="24"/>
          <w:szCs w:val="24"/>
        </w:rPr>
        <w:t>poate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oferi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suficientă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a </w:t>
      </w:r>
      <w:proofErr w:type="spellStart"/>
      <w:r w:rsidRPr="00ED3677">
        <w:rPr>
          <w:sz w:val="24"/>
          <w:szCs w:val="24"/>
        </w:rPr>
        <w:t>satisface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cerințele</w:t>
      </w:r>
      <w:proofErr w:type="spellEnd"/>
      <w:r w:rsidR="007C1647">
        <w:rPr>
          <w:sz w:val="24"/>
          <w:szCs w:val="24"/>
        </w:rPr>
        <w:t xml:space="preserve"> </w:t>
      </w:r>
      <w:proofErr w:type="spellStart"/>
      <w:r w:rsidR="007C1647">
        <w:rPr>
          <w:sz w:val="24"/>
          <w:szCs w:val="24"/>
        </w:rPr>
        <w:t>organismului</w:t>
      </w:r>
      <w:proofErr w:type="spellEnd"/>
      <w:r w:rsidRPr="00ED3677">
        <w:rPr>
          <w:sz w:val="24"/>
          <w:szCs w:val="24"/>
        </w:rPr>
        <w:t xml:space="preserve">. </w:t>
      </w:r>
    </w:p>
    <w:p w14:paraId="68ABDE32" w14:textId="01084E08" w:rsidR="00EB7520" w:rsidRDefault="00ED3677" w:rsidP="00ED3677">
      <w:pPr>
        <w:rPr>
          <w:sz w:val="24"/>
          <w:szCs w:val="24"/>
        </w:rPr>
      </w:pPr>
      <w:proofErr w:type="spellStart"/>
      <w:r w:rsidRPr="007C1647">
        <w:rPr>
          <w:b/>
          <w:bCs/>
          <w:i/>
          <w:iCs/>
          <w:sz w:val="24"/>
          <w:szCs w:val="24"/>
        </w:rPr>
        <w:t>Expunerea</w:t>
      </w:r>
      <w:proofErr w:type="spellEnd"/>
      <w:r w:rsidRPr="007C164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C1647">
        <w:rPr>
          <w:b/>
          <w:bCs/>
          <w:i/>
          <w:iCs/>
          <w:sz w:val="24"/>
          <w:szCs w:val="24"/>
        </w:rPr>
        <w:t>adecvată</w:t>
      </w:r>
      <w:proofErr w:type="spellEnd"/>
      <w:r w:rsidRPr="007C1647">
        <w:rPr>
          <w:b/>
          <w:bCs/>
          <w:i/>
          <w:iCs/>
          <w:sz w:val="24"/>
          <w:szCs w:val="24"/>
        </w:rPr>
        <w:t xml:space="preserve"> la lumina </w:t>
      </w:r>
      <w:proofErr w:type="spellStart"/>
      <w:r w:rsidRPr="007C1647">
        <w:rPr>
          <w:b/>
          <w:bCs/>
          <w:i/>
          <w:iCs/>
          <w:sz w:val="24"/>
          <w:szCs w:val="24"/>
        </w:rPr>
        <w:t>soarelui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importantă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prevenirea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corectarea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insuficienței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D. </w:t>
      </w:r>
      <w:proofErr w:type="spellStart"/>
      <w:r w:rsidRPr="00ED3677">
        <w:rPr>
          <w:sz w:val="24"/>
          <w:szCs w:val="24"/>
        </w:rPr>
        <w:t>Deficienta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 are </w:t>
      </w:r>
      <w:r w:rsidR="007C1647">
        <w:rPr>
          <w:sz w:val="24"/>
          <w:szCs w:val="24"/>
        </w:rPr>
        <w:t xml:space="preserve">multiple </w:t>
      </w:r>
      <w:proofErr w:type="spellStart"/>
      <w:r w:rsidRPr="00ED3677">
        <w:rPr>
          <w:sz w:val="24"/>
          <w:szCs w:val="24"/>
        </w:rPr>
        <w:t>consecinte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asupra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sanatatii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="007C1647">
        <w:rPr>
          <w:sz w:val="24"/>
          <w:szCs w:val="24"/>
        </w:rPr>
        <w:t>fiind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extrem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importanta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mentinerea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sanatatii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r w:rsidR="007C1647">
        <w:rPr>
          <w:sz w:val="24"/>
          <w:szCs w:val="24"/>
        </w:rPr>
        <w:t>lor</w:t>
      </w:r>
      <w:proofErr w:type="spellEnd"/>
      <w:r w:rsidRPr="00ED3677">
        <w:rPr>
          <w:sz w:val="24"/>
          <w:szCs w:val="24"/>
        </w:rPr>
        <w:t xml:space="preserve">. La </w:t>
      </w:r>
      <w:proofErr w:type="spellStart"/>
      <w:r w:rsidRPr="00ED3677">
        <w:rPr>
          <w:sz w:val="24"/>
          <w:szCs w:val="24"/>
        </w:rPr>
        <w:t>femeile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vârstă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sau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="007C1647">
        <w:rPr>
          <w:sz w:val="24"/>
          <w:szCs w:val="24"/>
        </w:rPr>
        <w:t>aflata</w:t>
      </w:r>
      <w:proofErr w:type="spellEnd"/>
      <w:r w:rsidR="007C164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postmenopauză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deficitul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 </w:t>
      </w:r>
      <w:proofErr w:type="spellStart"/>
      <w:r w:rsidRPr="00ED3677">
        <w:rPr>
          <w:sz w:val="24"/>
          <w:szCs w:val="24"/>
        </w:rPr>
        <w:t>poate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agrava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osteoporoza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plus,</w:t>
      </w:r>
      <w:r w:rsidR="00EB7520" w:rsidRPr="00EB7520">
        <w:rPr>
          <w:sz w:val="24"/>
          <w:szCs w:val="24"/>
        </w:rPr>
        <w:t xml:space="preserve"> </w:t>
      </w:r>
      <w:r w:rsidR="00EB7520" w:rsidRPr="00ED3677">
        <w:rPr>
          <w:sz w:val="24"/>
          <w:szCs w:val="24"/>
        </w:rPr>
        <w:t xml:space="preserve">sunt </w:t>
      </w:r>
      <w:proofErr w:type="spellStart"/>
      <w:r w:rsidR="00EB7520" w:rsidRPr="00ED3677">
        <w:rPr>
          <w:sz w:val="24"/>
          <w:szCs w:val="24"/>
        </w:rPr>
        <w:t>necesare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concentrații</w:t>
      </w:r>
      <w:proofErr w:type="spellEnd"/>
      <w:r w:rsidR="00EB7520">
        <w:rPr>
          <w:sz w:val="24"/>
          <w:szCs w:val="24"/>
        </w:rPr>
        <w:t xml:space="preserve"> </w:t>
      </w:r>
      <w:proofErr w:type="spellStart"/>
      <w:r w:rsidR="00EB7520">
        <w:rPr>
          <w:sz w:val="24"/>
          <w:szCs w:val="24"/>
        </w:rPr>
        <w:t>serice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adecvate</w:t>
      </w:r>
      <w:proofErr w:type="spellEnd"/>
      <w:r w:rsidRPr="00ED3677">
        <w:rPr>
          <w:sz w:val="24"/>
          <w:szCs w:val="24"/>
        </w:rPr>
        <w:t xml:space="preserve"> de </w:t>
      </w:r>
      <w:r w:rsidRPr="007C1647">
        <w:rPr>
          <w:i/>
          <w:iCs/>
          <w:sz w:val="24"/>
          <w:szCs w:val="24"/>
        </w:rPr>
        <w:t>25-hidroxivitamina D (25(OH)D)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maximizarea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eficacității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medicamentelor</w:t>
      </w:r>
      <w:proofErr w:type="spellEnd"/>
      <w:r w:rsidRPr="00ED3677">
        <w:rPr>
          <w:sz w:val="24"/>
          <w:szCs w:val="24"/>
        </w:rPr>
        <w:t xml:space="preserve"> anti-</w:t>
      </w:r>
      <w:proofErr w:type="spellStart"/>
      <w:r w:rsidRPr="00ED3677">
        <w:rPr>
          <w:sz w:val="24"/>
          <w:szCs w:val="24"/>
        </w:rPr>
        <w:t>osteoporotice</w:t>
      </w:r>
      <w:proofErr w:type="spellEnd"/>
      <w:r w:rsidR="005D1447">
        <w:rPr>
          <w:sz w:val="24"/>
          <w:szCs w:val="24"/>
        </w:rPr>
        <w:t xml:space="preserve"> [8]. </w:t>
      </w:r>
    </w:p>
    <w:p w14:paraId="1AE3DA4A" w14:textId="689BCAD9" w:rsidR="00ED3677" w:rsidRDefault="00EB7520" w:rsidP="00ED36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ED3677" w:rsidRPr="00ED3677">
        <w:rPr>
          <w:sz w:val="24"/>
          <w:szCs w:val="24"/>
        </w:rPr>
        <w:t>itamina</w:t>
      </w:r>
      <w:proofErr w:type="spellEnd"/>
      <w:r w:rsidR="00ED3677" w:rsidRPr="00ED3677">
        <w:rPr>
          <w:sz w:val="24"/>
          <w:szCs w:val="24"/>
        </w:rPr>
        <w:t xml:space="preserve"> D </w:t>
      </w:r>
      <w:proofErr w:type="spellStart"/>
      <w:r w:rsidR="00ED3677" w:rsidRPr="00ED3677">
        <w:rPr>
          <w:sz w:val="24"/>
          <w:szCs w:val="24"/>
        </w:rPr>
        <w:t>este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implicată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în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menținerea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masei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musculare</w:t>
      </w:r>
      <w:proofErr w:type="spellEnd"/>
      <w:r w:rsidR="00ED3677" w:rsidRPr="00ED3677">
        <w:rPr>
          <w:sz w:val="24"/>
          <w:szCs w:val="24"/>
        </w:rPr>
        <w:t xml:space="preserve">, precum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 w:rsidR="00ED3677" w:rsidRPr="00ED3677">
        <w:rPr>
          <w:sz w:val="24"/>
          <w:szCs w:val="24"/>
        </w:rPr>
        <w:t>structur</w:t>
      </w:r>
      <w:r>
        <w:rPr>
          <w:sz w:val="24"/>
          <w:szCs w:val="24"/>
        </w:rPr>
        <w:t>ii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osoas</w:t>
      </w:r>
      <w:r>
        <w:rPr>
          <w:sz w:val="24"/>
          <w:szCs w:val="24"/>
        </w:rPr>
        <w:t>e</w:t>
      </w:r>
      <w:proofErr w:type="spellEnd"/>
      <w:r w:rsidR="00ED3677" w:rsidRPr="00ED3677">
        <w:rPr>
          <w:sz w:val="24"/>
          <w:szCs w:val="24"/>
        </w:rPr>
        <w:t xml:space="preserve">. </w:t>
      </w:r>
    </w:p>
    <w:p w14:paraId="71EED776" w14:textId="6EB510A3" w:rsidR="008F157A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modele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animale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probiotice</w:t>
      </w:r>
      <w:r w:rsidR="00EB7520">
        <w:rPr>
          <w:sz w:val="24"/>
          <w:szCs w:val="24"/>
        </w:rPr>
        <w:t>le</w:t>
      </w:r>
      <w:proofErr w:type="spellEnd"/>
      <w:r w:rsidR="00EB7520">
        <w:rPr>
          <w:sz w:val="24"/>
          <w:szCs w:val="24"/>
        </w:rPr>
        <w:t xml:space="preserve"> au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inhiba</w:t>
      </w:r>
      <w:r w:rsidR="00EB7520">
        <w:rPr>
          <w:sz w:val="24"/>
          <w:szCs w:val="24"/>
        </w:rPr>
        <w:t>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pierderea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asociat</w:t>
      </w:r>
      <w:r w:rsidR="00EB7520">
        <w:rPr>
          <w:sz w:val="24"/>
          <w:szCs w:val="24"/>
        </w:rPr>
        <w:t>a</w:t>
      </w:r>
      <w:proofErr w:type="spellEnd"/>
      <w:r w:rsidRPr="00ED3677">
        <w:rPr>
          <w:sz w:val="24"/>
          <w:szCs w:val="24"/>
        </w:rPr>
        <w:t xml:space="preserve"> cu </w:t>
      </w:r>
      <w:proofErr w:type="spellStart"/>
      <w:r w:rsidRPr="00ED3677">
        <w:rPr>
          <w:sz w:val="24"/>
          <w:szCs w:val="24"/>
        </w:rPr>
        <w:t>deficit</w:t>
      </w:r>
      <w:r w:rsidR="00EB7520">
        <w:rPr>
          <w:sz w:val="24"/>
          <w:szCs w:val="24"/>
        </w:rPr>
        <w:t>ul</w:t>
      </w:r>
      <w:proofErr w:type="spellEnd"/>
      <w:r w:rsidRPr="00ED3677">
        <w:rPr>
          <w:sz w:val="24"/>
          <w:szCs w:val="24"/>
        </w:rPr>
        <w:t xml:space="preserve"> de estrogen, </w:t>
      </w:r>
      <w:proofErr w:type="spellStart"/>
      <w:r w:rsidRPr="00ED3677">
        <w:rPr>
          <w:sz w:val="24"/>
          <w:szCs w:val="24"/>
        </w:rPr>
        <w:t>diabet</w:t>
      </w:r>
      <w:r w:rsidR="008F157A">
        <w:rPr>
          <w:sz w:val="24"/>
          <w:szCs w:val="24"/>
        </w:rPr>
        <w:t>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zaharat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sau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tratamente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glucocorticoide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reglementarea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atât</w:t>
      </w:r>
      <w:proofErr w:type="spellEnd"/>
      <w:r w:rsidRPr="00ED3677">
        <w:rPr>
          <w:sz w:val="24"/>
          <w:szCs w:val="24"/>
        </w:rPr>
        <w:t xml:space="preserve"> </w:t>
      </w:r>
      <w:r w:rsidR="008F157A">
        <w:rPr>
          <w:sz w:val="24"/>
          <w:szCs w:val="24"/>
        </w:rPr>
        <w:t xml:space="preserve">a </w:t>
      </w:r>
      <w:proofErr w:type="spellStart"/>
      <w:r w:rsidRPr="00ED3677">
        <w:rPr>
          <w:sz w:val="24"/>
          <w:szCs w:val="24"/>
        </w:rPr>
        <w:t>resorbți</w:t>
      </w:r>
      <w:r w:rsidR="008F157A">
        <w:rPr>
          <w:sz w:val="24"/>
          <w:szCs w:val="24"/>
        </w:rPr>
        <w:t>ei</w:t>
      </w:r>
      <w:proofErr w:type="spellEnd"/>
      <w:r w:rsidR="008F157A">
        <w:rPr>
          <w:sz w:val="24"/>
          <w:szCs w:val="24"/>
        </w:rPr>
        <w:t xml:space="preserve">, </w:t>
      </w:r>
      <w:proofErr w:type="spellStart"/>
      <w:r w:rsidR="008F157A">
        <w:rPr>
          <w:sz w:val="24"/>
          <w:szCs w:val="24"/>
        </w:rPr>
        <w:t>c</w:t>
      </w:r>
      <w:r w:rsidR="008F157A" w:rsidRPr="00ED3677">
        <w:rPr>
          <w:sz w:val="24"/>
          <w:szCs w:val="24"/>
        </w:rPr>
        <w:t>â</w:t>
      </w:r>
      <w:r w:rsidR="008F157A">
        <w:rPr>
          <w:sz w:val="24"/>
          <w:szCs w:val="24"/>
        </w:rPr>
        <w:t>t</w:t>
      </w:r>
      <w:proofErr w:type="spellEnd"/>
      <w:r w:rsidR="008F157A">
        <w:rPr>
          <w:sz w:val="24"/>
          <w:szCs w:val="24"/>
        </w:rPr>
        <w:t xml:space="preserve"> </w:t>
      </w:r>
      <w:proofErr w:type="spellStart"/>
      <w:r w:rsidR="008F157A" w:rsidRPr="00ED3677">
        <w:rPr>
          <w:sz w:val="24"/>
          <w:szCs w:val="24"/>
        </w:rPr>
        <w:t>și</w:t>
      </w:r>
      <w:proofErr w:type="spellEnd"/>
      <w:r w:rsidR="008F157A" w:rsidRPr="00ED3677">
        <w:rPr>
          <w:sz w:val="24"/>
          <w:szCs w:val="24"/>
        </w:rPr>
        <w:t xml:space="preserve"> </w:t>
      </w:r>
      <w:r w:rsidR="008F157A">
        <w:rPr>
          <w:sz w:val="24"/>
          <w:szCs w:val="24"/>
        </w:rPr>
        <w:t xml:space="preserve">a </w:t>
      </w:r>
      <w:proofErr w:type="spellStart"/>
      <w:r w:rsidR="008F157A" w:rsidRPr="00ED3677">
        <w:rPr>
          <w:sz w:val="24"/>
          <w:szCs w:val="24"/>
        </w:rPr>
        <w:t>formar</w:t>
      </w:r>
      <w:r w:rsidR="008F157A">
        <w:rPr>
          <w:sz w:val="24"/>
          <w:szCs w:val="24"/>
        </w:rPr>
        <w:t>ii</w:t>
      </w:r>
      <w:proofErr w:type="spellEnd"/>
      <w:r w:rsidR="008F157A"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</w:t>
      </w:r>
      <w:r w:rsidR="008F157A">
        <w:rPr>
          <w:sz w:val="24"/>
          <w:szCs w:val="24"/>
        </w:rPr>
        <w:t>e</w:t>
      </w:r>
      <w:proofErr w:type="spellEnd"/>
      <w:r w:rsidR="005D1447">
        <w:rPr>
          <w:sz w:val="24"/>
          <w:szCs w:val="24"/>
        </w:rPr>
        <w:t xml:space="preserve"> [9]. </w:t>
      </w:r>
    </w:p>
    <w:p w14:paraId="5806C247" w14:textId="2688EAE6" w:rsidR="008F157A" w:rsidRDefault="00ED3677" w:rsidP="00ED3677">
      <w:pPr>
        <w:rPr>
          <w:sz w:val="24"/>
          <w:szCs w:val="24"/>
        </w:rPr>
      </w:pPr>
      <w:r w:rsidRPr="00ED3677">
        <w:rPr>
          <w:sz w:val="24"/>
          <w:szCs w:val="24"/>
        </w:rPr>
        <w:t xml:space="preserve">La om, </w:t>
      </w:r>
      <w:proofErr w:type="spellStart"/>
      <w:r w:rsidRPr="00ED3677">
        <w:rPr>
          <w:sz w:val="24"/>
          <w:szCs w:val="24"/>
        </w:rPr>
        <w:t>probiotice</w:t>
      </w:r>
      <w:r w:rsidR="008F157A">
        <w:rPr>
          <w:sz w:val="24"/>
          <w:szCs w:val="24"/>
        </w:rPr>
        <w:t>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modifica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="008F157A">
        <w:rPr>
          <w:sz w:val="24"/>
          <w:szCs w:val="24"/>
        </w:rPr>
        <w:t>nivelele</w:t>
      </w:r>
      <w:proofErr w:type="spellEnd"/>
      <w:r w:rsidR="008F157A">
        <w:rPr>
          <w:sz w:val="24"/>
          <w:szCs w:val="24"/>
        </w:rPr>
        <w:t xml:space="preserve"> de </w:t>
      </w:r>
      <w:r w:rsidRPr="00ED3677">
        <w:rPr>
          <w:sz w:val="24"/>
          <w:szCs w:val="24"/>
        </w:rPr>
        <w:t>25 (OH) D</w:t>
      </w:r>
      <w:r w:rsidR="008F157A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absorbția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calciului</w:t>
      </w:r>
      <w:proofErr w:type="spellEnd"/>
      <w:r w:rsidRPr="00ED3677">
        <w:rPr>
          <w:sz w:val="24"/>
          <w:szCs w:val="24"/>
        </w:rPr>
        <w:t xml:space="preserve">, </w:t>
      </w:r>
      <w:r w:rsidR="008F157A">
        <w:rPr>
          <w:sz w:val="24"/>
          <w:szCs w:val="24"/>
        </w:rPr>
        <w:t>cu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scăderea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pierderii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femeile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vârstă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postmenopauză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într</w:t>
      </w:r>
      <w:proofErr w:type="spellEnd"/>
      <w:r w:rsidRPr="00ED3677">
        <w:rPr>
          <w:sz w:val="24"/>
          <w:szCs w:val="24"/>
        </w:rPr>
        <w:t xml:space="preserve">-o </w:t>
      </w:r>
      <w:proofErr w:type="spellStart"/>
      <w:r w:rsidRPr="00ED3677">
        <w:rPr>
          <w:sz w:val="24"/>
          <w:szCs w:val="24"/>
        </w:rPr>
        <w:t>măsură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similară</w:t>
      </w:r>
      <w:proofErr w:type="spellEnd"/>
      <w:r w:rsidRPr="00ED3677">
        <w:rPr>
          <w:sz w:val="24"/>
          <w:szCs w:val="24"/>
        </w:rPr>
        <w:t xml:space="preserve"> cu </w:t>
      </w:r>
      <w:proofErr w:type="spellStart"/>
      <w:r w:rsidRPr="00ED3677">
        <w:rPr>
          <w:sz w:val="24"/>
          <w:szCs w:val="24"/>
        </w:rPr>
        <w:t>suplimente</w:t>
      </w:r>
      <w:r w:rsidR="008F157A">
        <w:rPr>
          <w:sz w:val="24"/>
          <w:szCs w:val="24"/>
        </w:rPr>
        <w:t>le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D, </w:t>
      </w:r>
      <w:r w:rsidR="008F157A">
        <w:rPr>
          <w:sz w:val="24"/>
          <w:szCs w:val="24"/>
        </w:rPr>
        <w:t xml:space="preserve">associate </w:t>
      </w:r>
      <w:proofErr w:type="spellStart"/>
      <w:r w:rsidR="008F157A">
        <w:rPr>
          <w:sz w:val="24"/>
          <w:szCs w:val="24"/>
        </w:rPr>
        <w:t>sau</w:t>
      </w:r>
      <w:proofErr w:type="spellEnd"/>
      <w:r w:rsidR="008F157A">
        <w:rPr>
          <w:sz w:val="24"/>
          <w:szCs w:val="24"/>
        </w:rPr>
        <w:t xml:space="preserve"> nu cu </w:t>
      </w:r>
      <w:proofErr w:type="spellStart"/>
      <w:r w:rsidR="008F157A">
        <w:rPr>
          <w:sz w:val="24"/>
          <w:szCs w:val="24"/>
        </w:rPr>
        <w:t>suplimente</w:t>
      </w:r>
      <w:proofErr w:type="spellEnd"/>
      <w:r w:rsidR="008F157A">
        <w:rPr>
          <w:sz w:val="24"/>
          <w:szCs w:val="24"/>
        </w:rPr>
        <w:t xml:space="preserve"> de </w:t>
      </w:r>
      <w:proofErr w:type="spellStart"/>
      <w:r w:rsidR="008F157A">
        <w:rPr>
          <w:sz w:val="24"/>
          <w:szCs w:val="24"/>
        </w:rPr>
        <w:t>calciu</w:t>
      </w:r>
      <w:proofErr w:type="spellEnd"/>
      <w:r w:rsidR="008F157A">
        <w:rPr>
          <w:sz w:val="24"/>
          <w:szCs w:val="24"/>
        </w:rPr>
        <w:t xml:space="preserve"> </w:t>
      </w:r>
      <w:r w:rsidRPr="00ED3677">
        <w:rPr>
          <w:sz w:val="24"/>
          <w:szCs w:val="24"/>
        </w:rPr>
        <w:t>[</w:t>
      </w:r>
      <w:r w:rsidR="005D1447">
        <w:rPr>
          <w:sz w:val="24"/>
          <w:szCs w:val="24"/>
        </w:rPr>
        <w:t>10</w:t>
      </w:r>
      <w:r w:rsidRPr="00ED3677">
        <w:rPr>
          <w:sz w:val="24"/>
          <w:szCs w:val="24"/>
        </w:rPr>
        <w:t xml:space="preserve">]. </w:t>
      </w:r>
    </w:p>
    <w:p w14:paraId="1ECBAE3F" w14:textId="2970BD44" w:rsidR="00F01F6D" w:rsidRDefault="00F01F6D" w:rsidP="00ED3677">
      <w:pPr>
        <w:rPr>
          <w:color w:val="000000"/>
          <w:shd w:val="clear" w:color="auto" w:fill="FFFFFF"/>
        </w:rPr>
      </w:pPr>
      <w:r>
        <w:rPr>
          <w:sz w:val="24"/>
          <w:szCs w:val="24"/>
        </w:rPr>
        <w:t>S</w:t>
      </w:r>
      <w:r w:rsidRPr="00ED3677">
        <w:rPr>
          <w:sz w:val="24"/>
          <w:szCs w:val="24"/>
        </w:rPr>
        <w:t xml:space="preserve">unt </w:t>
      </w:r>
      <w:proofErr w:type="spellStart"/>
      <w:r w:rsidRPr="00ED3677">
        <w:rPr>
          <w:sz w:val="24"/>
          <w:szCs w:val="24"/>
        </w:rPr>
        <w:t>necesare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ED3677" w:rsidRPr="00ED3677">
        <w:rPr>
          <w:sz w:val="24"/>
          <w:szCs w:val="24"/>
        </w:rPr>
        <w:t>tudii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suplimentare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a </w:t>
      </w:r>
      <w:proofErr w:type="spellStart"/>
      <w:r w:rsidR="00ED3677" w:rsidRPr="00ED3677">
        <w:rPr>
          <w:sz w:val="24"/>
          <w:szCs w:val="24"/>
        </w:rPr>
        <w:t>stabili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dacă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probiotice</w:t>
      </w:r>
      <w:r>
        <w:rPr>
          <w:sz w:val="24"/>
          <w:szCs w:val="24"/>
        </w:rPr>
        <w:t>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sau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orice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altă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intervenție</w:t>
      </w:r>
      <w:proofErr w:type="spellEnd"/>
      <w:r w:rsidR="00ED3677" w:rsidRPr="00ED3677">
        <w:rPr>
          <w:sz w:val="24"/>
          <w:szCs w:val="24"/>
        </w:rPr>
        <w:t xml:space="preserve"> care </w:t>
      </w:r>
      <w:proofErr w:type="spellStart"/>
      <w:r w:rsidR="00ED3677" w:rsidRPr="00ED3677">
        <w:rPr>
          <w:sz w:val="24"/>
          <w:szCs w:val="24"/>
        </w:rPr>
        <w:t>vizează</w:t>
      </w:r>
      <w:proofErr w:type="spellEnd"/>
      <w:r w:rsidR="00ED3677" w:rsidRPr="00ED3677">
        <w:rPr>
          <w:sz w:val="24"/>
          <w:szCs w:val="24"/>
        </w:rPr>
        <w:t xml:space="preserve"> microbiota </w:t>
      </w:r>
      <w:proofErr w:type="spellStart"/>
      <w:r w:rsidR="00ED3677" w:rsidRPr="00ED3677">
        <w:rPr>
          <w:sz w:val="24"/>
          <w:szCs w:val="24"/>
        </w:rPr>
        <w:t>intestin</w:t>
      </w:r>
      <w:r>
        <w:rPr>
          <w:sz w:val="24"/>
          <w:szCs w:val="24"/>
        </w:rPr>
        <w:t>ala</w:t>
      </w:r>
      <w:proofErr w:type="spellEnd"/>
      <w:r w:rsidR="00ED3677" w:rsidRPr="00ED3677">
        <w:rPr>
          <w:sz w:val="24"/>
          <w:szCs w:val="24"/>
        </w:rPr>
        <w:t xml:space="preserve"> ș</w:t>
      </w:r>
      <w:proofErr w:type="spellStart"/>
      <w:r w:rsidR="00ED3677" w:rsidRPr="00ED3677">
        <w:rPr>
          <w:sz w:val="24"/>
          <w:szCs w:val="24"/>
        </w:rPr>
        <w:t>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metaboliții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săi</w:t>
      </w:r>
      <w:proofErr w:type="spellEnd"/>
      <w:r w:rsidR="00ED3677" w:rsidRPr="00ED3677">
        <w:rPr>
          <w:sz w:val="24"/>
          <w:szCs w:val="24"/>
        </w:rPr>
        <w:t xml:space="preserve"> pot fi considerate </w:t>
      </w:r>
      <w:proofErr w:type="spellStart"/>
      <w:r w:rsidR="00ED3677" w:rsidRPr="00ED3677">
        <w:rPr>
          <w:sz w:val="24"/>
          <w:szCs w:val="24"/>
        </w:rPr>
        <w:t>tratamente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adjuvante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ED3677" w:rsidRPr="00ED3677">
        <w:rPr>
          <w:sz w:val="24"/>
          <w:szCs w:val="24"/>
        </w:rPr>
        <w:t>alături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suplimentarea</w:t>
      </w:r>
      <w:proofErr w:type="spellEnd"/>
      <w:r>
        <w:rPr>
          <w:sz w:val="24"/>
          <w:szCs w:val="24"/>
        </w:rPr>
        <w:t xml:space="preserve"> cu </w:t>
      </w:r>
      <w:proofErr w:type="spellStart"/>
      <w:r w:rsidR="00ED3677" w:rsidRPr="00ED3677">
        <w:rPr>
          <w:sz w:val="24"/>
          <w:szCs w:val="24"/>
        </w:rPr>
        <w:t>calciu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vitamina</w:t>
      </w:r>
      <w:proofErr w:type="spellEnd"/>
      <w:r w:rsidR="00ED3677" w:rsidRPr="00ED3677">
        <w:rPr>
          <w:sz w:val="24"/>
          <w:szCs w:val="24"/>
        </w:rPr>
        <w:t xml:space="preserve"> D </w:t>
      </w:r>
      <w:proofErr w:type="spellStart"/>
      <w:r w:rsidR="00ED3677" w:rsidRPr="00ED3677">
        <w:rPr>
          <w:sz w:val="24"/>
          <w:szCs w:val="24"/>
        </w:rPr>
        <w:t>sau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medicamente</w:t>
      </w:r>
      <w:r>
        <w:rPr>
          <w:sz w:val="24"/>
          <w:szCs w:val="24"/>
        </w:rPr>
        <w:t>le</w:t>
      </w:r>
      <w:proofErr w:type="spellEnd"/>
      <w:r w:rsidR="00ED3677" w:rsidRPr="00ED3677">
        <w:rPr>
          <w:sz w:val="24"/>
          <w:szCs w:val="24"/>
        </w:rPr>
        <w:t xml:space="preserve"> anti-</w:t>
      </w:r>
      <w:proofErr w:type="spellStart"/>
      <w:r w:rsidR="00ED3677" w:rsidRPr="00ED3677">
        <w:rPr>
          <w:sz w:val="24"/>
          <w:szCs w:val="24"/>
        </w:rPr>
        <w:t>osteoporotice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gestionarea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pacienților</w:t>
      </w:r>
      <w:proofErr w:type="spellEnd"/>
      <w:r w:rsidR="00ED3677" w:rsidRPr="00ED3677">
        <w:rPr>
          <w:sz w:val="24"/>
          <w:szCs w:val="24"/>
        </w:rPr>
        <w:t xml:space="preserve"> cu </w:t>
      </w:r>
      <w:proofErr w:type="spellStart"/>
      <w:r w:rsidR="00ED3677" w:rsidRPr="00ED3677">
        <w:rPr>
          <w:sz w:val="24"/>
          <w:szCs w:val="24"/>
        </w:rPr>
        <w:t>fragilitate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masă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osoasă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scăzută</w:t>
      </w:r>
      <w:proofErr w:type="spellEnd"/>
      <w:r w:rsidR="00ED3677" w:rsidRPr="00ED3677">
        <w:rPr>
          <w:sz w:val="24"/>
          <w:szCs w:val="24"/>
        </w:rPr>
        <w:t xml:space="preserve"> [</w:t>
      </w:r>
      <w:r w:rsidR="005D1447">
        <w:rPr>
          <w:sz w:val="24"/>
          <w:szCs w:val="24"/>
        </w:rPr>
        <w:t>11</w:t>
      </w:r>
      <w:r w:rsidR="00ED3677" w:rsidRPr="00ED3677">
        <w:rPr>
          <w:sz w:val="24"/>
          <w:szCs w:val="24"/>
        </w:rPr>
        <w:t>].</w:t>
      </w:r>
      <w:r w:rsidRPr="00F01F6D">
        <w:rPr>
          <w:color w:val="000000"/>
          <w:shd w:val="clear" w:color="auto" w:fill="FFFFFF"/>
        </w:rPr>
        <w:t xml:space="preserve"> </w:t>
      </w:r>
    </w:p>
    <w:p w14:paraId="49896E5C" w14:textId="782952F7" w:rsidR="00ED3677" w:rsidRDefault="0028396F" w:rsidP="00ED36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ED3677" w:rsidRPr="00ED3677">
        <w:rPr>
          <w:sz w:val="24"/>
          <w:szCs w:val="24"/>
        </w:rPr>
        <w:t>port</w:t>
      </w:r>
      <w:r>
        <w:rPr>
          <w:sz w:val="24"/>
          <w:szCs w:val="24"/>
        </w:rPr>
        <w:t>ul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scăzut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calciu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un </w:t>
      </w:r>
      <w:proofErr w:type="spellStart"/>
      <w:r w:rsidR="00ED3677" w:rsidRPr="00ED3677">
        <w:rPr>
          <w:sz w:val="24"/>
          <w:szCs w:val="24"/>
        </w:rPr>
        <w:t>statut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suboptim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vitamina</w:t>
      </w:r>
      <w:proofErr w:type="spellEnd"/>
      <w:r w:rsidR="00ED3677" w:rsidRPr="00ED3677">
        <w:rPr>
          <w:sz w:val="24"/>
          <w:szCs w:val="24"/>
        </w:rPr>
        <w:t xml:space="preserve"> D sunt </w:t>
      </w:r>
      <w:proofErr w:type="spellStart"/>
      <w:r w:rsidR="00ED3677" w:rsidRPr="00ED3677">
        <w:rPr>
          <w:sz w:val="24"/>
          <w:szCs w:val="24"/>
        </w:rPr>
        <w:t>foarte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frecvente</w:t>
      </w:r>
      <w:proofErr w:type="spellEnd"/>
      <w:r w:rsidR="00ED3677" w:rsidRPr="00ED3677">
        <w:rPr>
          <w:sz w:val="24"/>
          <w:szCs w:val="24"/>
        </w:rPr>
        <w:t xml:space="preserve"> la </w:t>
      </w:r>
      <w:proofErr w:type="spellStart"/>
      <w:r w:rsidR="00ED3677" w:rsidRPr="00ED3677">
        <w:rPr>
          <w:sz w:val="24"/>
          <w:szCs w:val="24"/>
        </w:rPr>
        <w:t>persoanele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în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vârstă</w:t>
      </w:r>
      <w:proofErr w:type="spellEnd"/>
      <w:r w:rsidR="00ED3677" w:rsidRPr="00ED3677">
        <w:rPr>
          <w:sz w:val="24"/>
          <w:szCs w:val="24"/>
        </w:rPr>
        <w:t xml:space="preserve"> din Europa. </w:t>
      </w:r>
      <w:proofErr w:type="spellStart"/>
      <w:r w:rsidR="00ED3677" w:rsidRPr="00ED3677">
        <w:rPr>
          <w:sz w:val="24"/>
          <w:szCs w:val="24"/>
        </w:rPr>
        <w:t>Consumul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zilnic</w:t>
      </w:r>
      <w:proofErr w:type="spellEnd"/>
      <w:r w:rsidR="00ED3677" w:rsidRPr="00ED3677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alimente </w:t>
      </w:r>
      <w:proofErr w:type="spellStart"/>
      <w:r>
        <w:rPr>
          <w:sz w:val="24"/>
          <w:szCs w:val="24"/>
        </w:rPr>
        <w:t>bogate</w:t>
      </w:r>
      <w:proofErr w:type="spellEnd"/>
      <w:r>
        <w:rPr>
          <w:sz w:val="24"/>
          <w:szCs w:val="24"/>
        </w:rPr>
        <w:t xml:space="preserve"> in </w:t>
      </w:r>
      <w:proofErr w:type="spellStart"/>
      <w:r w:rsidR="00ED3677" w:rsidRPr="00ED3677">
        <w:rPr>
          <w:sz w:val="24"/>
          <w:szCs w:val="24"/>
        </w:rPr>
        <w:t>calciu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vitamina</w:t>
      </w:r>
      <w:proofErr w:type="spellEnd"/>
      <w:r w:rsidR="00ED3677" w:rsidRPr="00ED3677">
        <w:rPr>
          <w:sz w:val="24"/>
          <w:szCs w:val="24"/>
        </w:rPr>
        <w:t xml:space="preserve"> D-</w:t>
      </w:r>
      <w:proofErr w:type="spellStart"/>
      <w:r w:rsidR="00ED3677" w:rsidRPr="00ED3677">
        <w:rPr>
          <w:sz w:val="24"/>
          <w:szCs w:val="24"/>
        </w:rPr>
        <w:t>produse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alimentare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fortificate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poate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ajuta</w:t>
      </w:r>
      <w:proofErr w:type="spellEnd"/>
      <w:r w:rsidR="00ED3677" w:rsidRPr="00ED3677">
        <w:rPr>
          <w:sz w:val="24"/>
          <w:szCs w:val="24"/>
        </w:rPr>
        <w:t xml:space="preserve">. </w:t>
      </w:r>
      <w:proofErr w:type="spellStart"/>
      <w:r w:rsidR="00ED3677" w:rsidRPr="00ED3677">
        <w:rPr>
          <w:sz w:val="24"/>
          <w:szCs w:val="24"/>
        </w:rPr>
        <w:t>Consumul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iaurt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poate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garanta</w:t>
      </w:r>
      <w:proofErr w:type="spellEnd"/>
      <w:r w:rsidR="00ED3677" w:rsidRPr="00ED3677">
        <w:rPr>
          <w:sz w:val="24"/>
          <w:szCs w:val="24"/>
        </w:rPr>
        <w:t xml:space="preserve"> o </w:t>
      </w:r>
      <w:proofErr w:type="spellStart"/>
      <w:r w:rsidR="00ED3677" w:rsidRPr="00ED3677">
        <w:rPr>
          <w:sz w:val="24"/>
          <w:szCs w:val="24"/>
        </w:rPr>
        <w:t>ingestie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mai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regulată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produse</w:t>
      </w:r>
      <w:proofErr w:type="spellEnd"/>
      <w:r w:rsidR="00ED3677" w:rsidRPr="00ED3677">
        <w:rPr>
          <w:sz w:val="24"/>
          <w:szCs w:val="24"/>
        </w:rPr>
        <w:t xml:space="preserve"> lactate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o </w:t>
      </w:r>
      <w:proofErr w:type="spellStart"/>
      <w:r w:rsidR="00ED3677" w:rsidRPr="00ED3677">
        <w:rPr>
          <w:sz w:val="24"/>
          <w:szCs w:val="24"/>
        </w:rPr>
        <w:t>mai</w:t>
      </w:r>
      <w:proofErr w:type="spellEnd"/>
      <w:r w:rsidR="00ED3677" w:rsidRPr="00ED3677">
        <w:rPr>
          <w:sz w:val="24"/>
          <w:szCs w:val="24"/>
        </w:rPr>
        <w:t xml:space="preserve"> mare </w:t>
      </w:r>
      <w:proofErr w:type="spellStart"/>
      <w:r w:rsidR="00ED3677" w:rsidRPr="00ED3677">
        <w:rPr>
          <w:sz w:val="24"/>
          <w:szCs w:val="24"/>
        </w:rPr>
        <w:t>aderență</w:t>
      </w:r>
      <w:proofErr w:type="spellEnd"/>
      <w:r w:rsidR="00ED3677" w:rsidRPr="00ED3677">
        <w:rPr>
          <w:sz w:val="24"/>
          <w:szCs w:val="24"/>
        </w:rPr>
        <w:t xml:space="preserve"> la </w:t>
      </w:r>
      <w:proofErr w:type="spellStart"/>
      <w:r w:rsidR="00ED3677" w:rsidRPr="00ED3677">
        <w:rPr>
          <w:sz w:val="24"/>
          <w:szCs w:val="24"/>
        </w:rPr>
        <w:t>consumul</w:t>
      </w:r>
      <w:proofErr w:type="spellEnd"/>
      <w:r w:rsidR="00ED3677" w:rsidRPr="00ED3677">
        <w:rPr>
          <w:sz w:val="24"/>
          <w:szCs w:val="24"/>
        </w:rPr>
        <w:t xml:space="preserve"> lor, din </w:t>
      </w:r>
      <w:proofErr w:type="spellStart"/>
      <w:r w:rsidR="00ED3677" w:rsidRPr="00ED3677">
        <w:rPr>
          <w:sz w:val="24"/>
          <w:szCs w:val="24"/>
        </w:rPr>
        <w:t>cauza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diferitelor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arome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nivelurile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dulceață</w:t>
      </w:r>
      <w:proofErr w:type="spellEnd"/>
      <w:r w:rsidR="00ED3677" w:rsidRPr="00ED3677">
        <w:rPr>
          <w:sz w:val="24"/>
          <w:szCs w:val="24"/>
        </w:rPr>
        <w:t xml:space="preserve">. </w:t>
      </w:r>
    </w:p>
    <w:p w14:paraId="309356DD" w14:textId="475E263F" w:rsidR="0028396F" w:rsidRDefault="00ED3677" w:rsidP="00ED3677">
      <w:pPr>
        <w:rPr>
          <w:sz w:val="24"/>
          <w:szCs w:val="24"/>
        </w:rPr>
      </w:pPr>
      <w:r w:rsidRPr="00ED3677">
        <w:rPr>
          <w:sz w:val="24"/>
          <w:szCs w:val="24"/>
        </w:rPr>
        <w:t xml:space="preserve">Nu </w:t>
      </w:r>
      <w:proofErr w:type="spellStart"/>
      <w:r w:rsidRPr="00ED3677">
        <w:rPr>
          <w:sz w:val="24"/>
          <w:szCs w:val="24"/>
        </w:rPr>
        <w:t>toate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informațiile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disponibile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susțin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ideea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că</w:t>
      </w:r>
      <w:proofErr w:type="spellEnd"/>
      <w:r w:rsidRPr="00ED3677">
        <w:rPr>
          <w:sz w:val="24"/>
          <w:szCs w:val="24"/>
        </w:rPr>
        <w:t xml:space="preserve"> un </w:t>
      </w:r>
      <w:proofErr w:type="spellStart"/>
      <w:r w:rsidRPr="00ED3677">
        <w:rPr>
          <w:sz w:val="24"/>
          <w:szCs w:val="24"/>
        </w:rPr>
        <w:t>aport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ridicat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produse</w:t>
      </w:r>
      <w:proofErr w:type="spellEnd"/>
      <w:r w:rsidRPr="00ED3677">
        <w:rPr>
          <w:sz w:val="24"/>
          <w:szCs w:val="24"/>
        </w:rPr>
        <w:t xml:space="preserve"> lactate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benefic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="0028396F">
        <w:rPr>
          <w:sz w:val="24"/>
          <w:szCs w:val="24"/>
        </w:rPr>
        <w:t>sanatatea</w:t>
      </w:r>
      <w:proofErr w:type="spellEnd"/>
      <w:r w:rsidR="0028396F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</w:t>
      </w:r>
      <w:r w:rsidR="0028396F">
        <w:rPr>
          <w:sz w:val="24"/>
          <w:szCs w:val="24"/>
        </w:rPr>
        <w:t>oasa</w:t>
      </w:r>
      <w:proofErr w:type="spellEnd"/>
      <w:r w:rsidRPr="00ED3677">
        <w:rPr>
          <w:sz w:val="24"/>
          <w:szCs w:val="24"/>
        </w:rPr>
        <w:t xml:space="preserve"> [</w:t>
      </w:r>
      <w:r w:rsidR="005D1447">
        <w:rPr>
          <w:sz w:val="24"/>
          <w:szCs w:val="24"/>
        </w:rPr>
        <w:t>12]</w:t>
      </w:r>
      <w:r w:rsidRPr="00ED3677">
        <w:rPr>
          <w:sz w:val="24"/>
          <w:szCs w:val="24"/>
        </w:rPr>
        <w:t xml:space="preserve">. </w:t>
      </w:r>
    </w:p>
    <w:p w14:paraId="3EE0EAD9" w14:textId="3D94481E" w:rsidR="00C931C1" w:rsidRDefault="0028396F" w:rsidP="00ED36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ED3677" w:rsidRPr="00ED3677">
        <w:rPr>
          <w:sz w:val="24"/>
          <w:szCs w:val="24"/>
        </w:rPr>
        <w:t>atele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obtinute</w:t>
      </w:r>
      <w:proofErr w:type="spellEnd"/>
      <w:r>
        <w:rPr>
          <w:sz w:val="24"/>
          <w:szCs w:val="24"/>
        </w:rPr>
        <w:t xml:space="preserve"> </w:t>
      </w:r>
      <w:r w:rsidR="00ED3677" w:rsidRPr="00ED3677">
        <w:rPr>
          <w:sz w:val="24"/>
          <w:szCs w:val="24"/>
        </w:rPr>
        <w:t xml:space="preserve">din </w:t>
      </w:r>
      <w:proofErr w:type="spellStart"/>
      <w:r w:rsidR="00ED3677" w:rsidRPr="00ED3677">
        <w:rPr>
          <w:sz w:val="24"/>
          <w:szCs w:val="24"/>
        </w:rPr>
        <w:t>studiul</w:t>
      </w:r>
      <w:proofErr w:type="spellEnd"/>
      <w:r w:rsidR="00ED3677" w:rsidRPr="00ED3677">
        <w:rPr>
          <w:sz w:val="24"/>
          <w:szCs w:val="24"/>
        </w:rPr>
        <w:t xml:space="preserve"> NHANES III, </w:t>
      </w:r>
      <w:r>
        <w:rPr>
          <w:sz w:val="24"/>
          <w:szCs w:val="24"/>
        </w:rPr>
        <w:t xml:space="preserve">care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inclus</w:t>
      </w:r>
      <w:proofErr w:type="spellEnd"/>
      <w:r w:rsidR="00ED3677" w:rsidRPr="00ED3677">
        <w:rPr>
          <w:sz w:val="24"/>
          <w:szCs w:val="24"/>
        </w:rPr>
        <w:t xml:space="preserve"> o </w:t>
      </w:r>
      <w:proofErr w:type="spellStart"/>
      <w:r w:rsidR="00ED3677" w:rsidRPr="00ED3677">
        <w:rPr>
          <w:sz w:val="24"/>
          <w:szCs w:val="24"/>
        </w:rPr>
        <w:t>cohortă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aproape</w:t>
      </w:r>
      <w:proofErr w:type="spellEnd"/>
      <w:r w:rsidR="00ED3677" w:rsidRPr="00ED3677">
        <w:rPr>
          <w:sz w:val="24"/>
          <w:szCs w:val="24"/>
        </w:rPr>
        <w:t xml:space="preserve"> 10.000 de </w:t>
      </w:r>
      <w:proofErr w:type="spellStart"/>
      <w:r w:rsidR="00ED3677" w:rsidRPr="00ED3677">
        <w:rPr>
          <w:sz w:val="24"/>
          <w:szCs w:val="24"/>
        </w:rPr>
        <w:t>femei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bărbați</w:t>
      </w:r>
      <w:proofErr w:type="spellEnd"/>
      <w:r w:rsidR="00ED3677" w:rsidRPr="00ED3677">
        <w:rPr>
          <w:sz w:val="24"/>
          <w:szCs w:val="24"/>
        </w:rPr>
        <w:t xml:space="preserve">, nu au </w:t>
      </w:r>
      <w:proofErr w:type="spellStart"/>
      <w:r w:rsidR="00ED3677" w:rsidRPr="00ED3677">
        <w:rPr>
          <w:sz w:val="24"/>
          <w:szCs w:val="24"/>
        </w:rPr>
        <w:t>arătat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nicio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corelație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între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aportul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calciu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densitatea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minerala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osoasa</w:t>
      </w:r>
      <w:proofErr w:type="spellEnd"/>
      <w:r>
        <w:rPr>
          <w:sz w:val="24"/>
          <w:szCs w:val="24"/>
        </w:rPr>
        <w:t xml:space="preserve"> (</w:t>
      </w:r>
      <w:r w:rsidR="00ED3677" w:rsidRPr="00ED3677">
        <w:rPr>
          <w:sz w:val="24"/>
          <w:szCs w:val="24"/>
        </w:rPr>
        <w:t>DMO</w:t>
      </w:r>
      <w:r w:rsidR="00C931C1">
        <w:rPr>
          <w:sz w:val="24"/>
          <w:szCs w:val="24"/>
        </w:rPr>
        <w:t>)</w:t>
      </w:r>
      <w:r w:rsidR="00ED3677" w:rsidRPr="00ED3677">
        <w:rPr>
          <w:sz w:val="24"/>
          <w:szCs w:val="24"/>
        </w:rPr>
        <w:t xml:space="preserve"> la </w:t>
      </w:r>
      <w:proofErr w:type="spellStart"/>
      <w:r w:rsidR="00C931C1">
        <w:rPr>
          <w:sz w:val="24"/>
          <w:szCs w:val="24"/>
        </w:rPr>
        <w:t>nivelul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șoldului</w:t>
      </w:r>
      <w:proofErr w:type="spellEnd"/>
      <w:r w:rsidR="00ED3677" w:rsidRPr="00ED3677">
        <w:rPr>
          <w:sz w:val="24"/>
          <w:szCs w:val="24"/>
        </w:rPr>
        <w:t xml:space="preserve">, </w:t>
      </w:r>
      <w:proofErr w:type="spellStart"/>
      <w:r w:rsidR="00ED3677" w:rsidRPr="00ED3677">
        <w:rPr>
          <w:sz w:val="24"/>
          <w:szCs w:val="24"/>
        </w:rPr>
        <w:t>iar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corelația</w:t>
      </w:r>
      <w:proofErr w:type="spellEnd"/>
      <w:r w:rsidR="00ED3677" w:rsidRPr="00ED3677">
        <w:rPr>
          <w:sz w:val="24"/>
          <w:szCs w:val="24"/>
        </w:rPr>
        <w:t xml:space="preserve"> a </w:t>
      </w:r>
      <w:proofErr w:type="spellStart"/>
      <w:r w:rsidR="00ED3677" w:rsidRPr="00ED3677">
        <w:rPr>
          <w:sz w:val="24"/>
          <w:szCs w:val="24"/>
        </w:rPr>
        <w:t>fost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mai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aplicabilă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subiecții</w:t>
      </w:r>
      <w:proofErr w:type="spellEnd"/>
      <w:r w:rsidR="00ED3677" w:rsidRPr="00ED3677">
        <w:rPr>
          <w:sz w:val="24"/>
          <w:szCs w:val="24"/>
        </w:rPr>
        <w:t xml:space="preserve"> cu </w:t>
      </w:r>
      <w:proofErr w:type="spellStart"/>
      <w:r w:rsidR="00ED3677" w:rsidRPr="00ED3677">
        <w:rPr>
          <w:sz w:val="24"/>
          <w:szCs w:val="24"/>
        </w:rPr>
        <w:t>niveluri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mai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ridicate</w:t>
      </w:r>
      <w:proofErr w:type="spellEnd"/>
      <w:r w:rsidR="00ED3677" w:rsidRPr="00ED3677">
        <w:rPr>
          <w:sz w:val="24"/>
          <w:szCs w:val="24"/>
        </w:rPr>
        <w:t xml:space="preserve"> de 25(OH)D [</w:t>
      </w:r>
      <w:r w:rsidR="005D1447">
        <w:rPr>
          <w:sz w:val="24"/>
          <w:szCs w:val="24"/>
        </w:rPr>
        <w:t>13</w:t>
      </w:r>
      <w:r w:rsidR="00ED3677" w:rsidRPr="00ED3677">
        <w:rPr>
          <w:sz w:val="24"/>
          <w:szCs w:val="24"/>
        </w:rPr>
        <w:t xml:space="preserve">]. </w:t>
      </w:r>
    </w:p>
    <w:p w14:paraId="096C516B" w14:textId="223D3FA3" w:rsidR="00ED3677" w:rsidRPr="00ED3677" w:rsidRDefault="00C931C1" w:rsidP="00ED3677">
      <w:pPr>
        <w:rPr>
          <w:sz w:val="24"/>
          <w:szCs w:val="24"/>
        </w:rPr>
      </w:pPr>
      <w:r w:rsidRPr="00D9576D">
        <w:rPr>
          <w:i/>
          <w:iCs/>
          <w:sz w:val="24"/>
          <w:szCs w:val="24"/>
        </w:rPr>
        <w:t>“</w:t>
      </w:r>
      <w:r w:rsidRPr="00D9576D">
        <w:rPr>
          <w:i/>
          <w:iCs/>
          <w:sz w:val="24"/>
          <w:szCs w:val="24"/>
        </w:rPr>
        <w:t>Study of Women’s Health Across the Nation</w:t>
      </w:r>
      <w:r w:rsidRPr="00D9576D">
        <w:rPr>
          <w:i/>
          <w:iCs/>
          <w:sz w:val="24"/>
          <w:szCs w:val="24"/>
        </w:rPr>
        <w:t>”</w:t>
      </w:r>
      <w:r w:rsidRPr="00D9576D">
        <w:rPr>
          <w:i/>
          <w:iCs/>
          <w:sz w:val="24"/>
          <w:szCs w:val="24"/>
        </w:rPr>
        <w:t> </w:t>
      </w:r>
      <w:r w:rsidRPr="00D9576D">
        <w:rPr>
          <w:i/>
          <w:iCs/>
          <w:sz w:val="24"/>
          <w:szCs w:val="24"/>
        </w:rPr>
        <w:t>(</w:t>
      </w:r>
      <w:r w:rsidR="00ED3677" w:rsidRPr="00D9576D">
        <w:rPr>
          <w:i/>
          <w:iCs/>
          <w:sz w:val="24"/>
          <w:szCs w:val="24"/>
        </w:rPr>
        <w:t>SWAN)</w:t>
      </w:r>
      <w:r w:rsidR="00ED3677" w:rsidRPr="00ED3677">
        <w:rPr>
          <w:sz w:val="24"/>
          <w:szCs w:val="24"/>
        </w:rPr>
        <w:t xml:space="preserve"> a </w:t>
      </w:r>
      <w:proofErr w:type="spellStart"/>
      <w:r w:rsidR="00ED3677" w:rsidRPr="00ED3677">
        <w:rPr>
          <w:sz w:val="24"/>
          <w:szCs w:val="24"/>
        </w:rPr>
        <w:t>încercat</w:t>
      </w:r>
      <w:proofErr w:type="spellEnd"/>
      <w:r w:rsidR="00ED3677" w:rsidRPr="00ED3677">
        <w:rPr>
          <w:sz w:val="24"/>
          <w:szCs w:val="24"/>
        </w:rPr>
        <w:t xml:space="preserve"> recent </w:t>
      </w:r>
      <w:proofErr w:type="spellStart"/>
      <w:r w:rsidR="00ED3677" w:rsidRPr="00ED3677">
        <w:rPr>
          <w:sz w:val="24"/>
          <w:szCs w:val="24"/>
        </w:rPr>
        <w:t>să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demonstreze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beneficiile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aportului</w:t>
      </w:r>
      <w:proofErr w:type="spellEnd"/>
      <w:r w:rsidR="00ED3677" w:rsidRPr="00ED3677">
        <w:rPr>
          <w:sz w:val="24"/>
          <w:szCs w:val="24"/>
        </w:rPr>
        <w:t xml:space="preserve"> de lactate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oase</w:t>
      </w:r>
      <w:proofErr w:type="spellEnd"/>
      <w:r w:rsidR="00ED3677" w:rsidRPr="00ED3677">
        <w:rPr>
          <w:sz w:val="24"/>
          <w:szCs w:val="24"/>
        </w:rPr>
        <w:t xml:space="preserve">, </w:t>
      </w:r>
      <w:proofErr w:type="spellStart"/>
      <w:r w:rsidR="00ED3677" w:rsidRPr="00ED3677">
        <w:rPr>
          <w:sz w:val="24"/>
          <w:szCs w:val="24"/>
        </w:rPr>
        <w:t>dar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rezultatele</w:t>
      </w:r>
      <w:proofErr w:type="spellEnd"/>
      <w:r w:rsidR="00ED3677" w:rsidRPr="00ED3677">
        <w:rPr>
          <w:sz w:val="24"/>
          <w:szCs w:val="24"/>
        </w:rPr>
        <w:t xml:space="preserve"> sale nu au </w:t>
      </w:r>
      <w:proofErr w:type="spellStart"/>
      <w:r w:rsidR="00ED3677" w:rsidRPr="00ED3677">
        <w:rPr>
          <w:sz w:val="24"/>
          <w:szCs w:val="24"/>
        </w:rPr>
        <w:t>fost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pozitive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sănătatea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osoasă</w:t>
      </w:r>
      <w:proofErr w:type="spellEnd"/>
      <w:r w:rsidR="00ED3677" w:rsidRPr="00ED3677">
        <w:rPr>
          <w:sz w:val="24"/>
          <w:szCs w:val="24"/>
        </w:rPr>
        <w:t xml:space="preserve"> pe termen lung. Nu s-a </w:t>
      </w:r>
      <w:proofErr w:type="spellStart"/>
      <w:r w:rsidR="00ED3677" w:rsidRPr="00ED3677">
        <w:rPr>
          <w:sz w:val="24"/>
          <w:szCs w:val="24"/>
        </w:rPr>
        <w:t>putut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stabili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beneficiul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consumului</w:t>
      </w:r>
      <w:proofErr w:type="spellEnd"/>
      <w:r w:rsidR="00ED3677" w:rsidRPr="00ED3677">
        <w:rPr>
          <w:sz w:val="24"/>
          <w:szCs w:val="24"/>
        </w:rPr>
        <w:t xml:space="preserve"> de lactate </w:t>
      </w:r>
      <w:proofErr w:type="spellStart"/>
      <w:r w:rsidR="00ED3677" w:rsidRPr="00ED3677">
        <w:rPr>
          <w:sz w:val="24"/>
          <w:szCs w:val="24"/>
        </w:rPr>
        <w:t>pentru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conservarea</w:t>
      </w:r>
      <w:proofErr w:type="spellEnd"/>
      <w:r w:rsidR="00ED3677" w:rsidRPr="00ED3677">
        <w:rPr>
          <w:sz w:val="24"/>
          <w:szCs w:val="24"/>
        </w:rPr>
        <w:t xml:space="preserve"> DMO </w:t>
      </w:r>
      <w:proofErr w:type="spellStart"/>
      <w:r w:rsidR="00ED3677" w:rsidRPr="00ED3677">
        <w:rPr>
          <w:sz w:val="24"/>
          <w:szCs w:val="24"/>
        </w:rPr>
        <w:t>sau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prevenirea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fracturilor</w:t>
      </w:r>
      <w:proofErr w:type="spellEnd"/>
      <w:r w:rsidR="005D1447">
        <w:rPr>
          <w:sz w:val="24"/>
          <w:szCs w:val="24"/>
        </w:rPr>
        <w:t xml:space="preserve"> [14].</w:t>
      </w:r>
    </w:p>
    <w:p w14:paraId="0872C8AB" w14:textId="6F61CF92" w:rsidR="00ED3677" w:rsidRPr="00ED3677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Rolul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potențial</w:t>
      </w:r>
      <w:proofErr w:type="spellEnd"/>
      <w:r w:rsidRPr="00ED3677">
        <w:rPr>
          <w:sz w:val="24"/>
          <w:szCs w:val="24"/>
        </w:rPr>
        <w:t xml:space="preserve"> benefic al </w:t>
      </w:r>
      <w:proofErr w:type="spellStart"/>
      <w:r w:rsidRPr="00ED3677">
        <w:rPr>
          <w:sz w:val="24"/>
          <w:szCs w:val="24"/>
        </w:rPr>
        <w:t>produselor</w:t>
      </w:r>
      <w:proofErr w:type="spellEnd"/>
      <w:r w:rsidRPr="00ED3677">
        <w:rPr>
          <w:sz w:val="24"/>
          <w:szCs w:val="24"/>
        </w:rPr>
        <w:t xml:space="preserve"> lactate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prevenirea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fracturilor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controversat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Rezultatele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inconsecvente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constatate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privește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posibila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asociere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între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consumul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lapte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riscul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fractură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șold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putea</w:t>
      </w:r>
      <w:proofErr w:type="spellEnd"/>
      <w:r w:rsidRPr="00ED3677">
        <w:rPr>
          <w:sz w:val="24"/>
          <w:szCs w:val="24"/>
        </w:rPr>
        <w:t xml:space="preserve"> fi </w:t>
      </w:r>
      <w:proofErr w:type="spellStart"/>
      <w:r w:rsidRPr="00ED3677">
        <w:rPr>
          <w:sz w:val="24"/>
          <w:szCs w:val="24"/>
        </w:rPr>
        <w:t>parțial</w:t>
      </w:r>
      <w:proofErr w:type="spellEnd"/>
      <w:r w:rsidRPr="00ED3677">
        <w:rPr>
          <w:sz w:val="24"/>
          <w:szCs w:val="24"/>
        </w:rPr>
        <w:t xml:space="preserve"> explicate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diferențele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dintre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politicile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privind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fortificația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vitaminei</w:t>
      </w:r>
      <w:proofErr w:type="spellEnd"/>
      <w:r w:rsidRPr="00ED3677">
        <w:rPr>
          <w:sz w:val="24"/>
          <w:szCs w:val="24"/>
        </w:rPr>
        <w:t xml:space="preserve"> D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diferite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țări</w:t>
      </w:r>
      <w:proofErr w:type="spellEnd"/>
      <w:r w:rsidR="005D144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15].</w:t>
      </w:r>
    </w:p>
    <w:p w14:paraId="16D34F1C" w14:textId="79A4F179" w:rsidR="00ED3677" w:rsidRPr="002429A5" w:rsidRDefault="00ED3677" w:rsidP="00ED3677">
      <w:pPr>
        <w:rPr>
          <w:sz w:val="24"/>
          <w:szCs w:val="24"/>
        </w:rPr>
      </w:pPr>
      <w:r w:rsidRPr="00ED3677">
        <w:rPr>
          <w:sz w:val="24"/>
          <w:szCs w:val="24"/>
        </w:rPr>
        <w:t xml:space="preserve">Pe </w:t>
      </w:r>
      <w:proofErr w:type="spellStart"/>
      <w:r w:rsidRPr="00ED3677">
        <w:rPr>
          <w:sz w:val="24"/>
          <w:szCs w:val="24"/>
        </w:rPr>
        <w:t>scurt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foarte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dificil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</w:t>
      </w:r>
      <w:proofErr w:type="spellEnd"/>
      <w:r w:rsidRPr="00ED3677">
        <w:rPr>
          <w:sz w:val="24"/>
          <w:szCs w:val="24"/>
        </w:rPr>
        <w:t xml:space="preserve"> se </w:t>
      </w:r>
      <w:proofErr w:type="spellStart"/>
      <w:r w:rsidRPr="00ED3677">
        <w:rPr>
          <w:sz w:val="24"/>
          <w:szCs w:val="24"/>
        </w:rPr>
        <w:t>facă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diferența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între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efectele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aportului</w:t>
      </w:r>
      <w:proofErr w:type="spellEnd"/>
      <w:r w:rsidRPr="00ED3677">
        <w:rPr>
          <w:sz w:val="24"/>
          <w:szCs w:val="24"/>
        </w:rPr>
        <w:t xml:space="preserve"> de lactate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cele</w:t>
      </w:r>
      <w:proofErr w:type="spellEnd"/>
      <w:r w:rsidRPr="00ED3677">
        <w:rPr>
          <w:sz w:val="24"/>
          <w:szCs w:val="24"/>
        </w:rPr>
        <w:t xml:space="preserve"> ale </w:t>
      </w:r>
      <w:proofErr w:type="spellStart"/>
      <w:r w:rsidRPr="00ED3677">
        <w:rPr>
          <w:sz w:val="24"/>
          <w:szCs w:val="24"/>
        </w:rPr>
        <w:t>altor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componente</w:t>
      </w:r>
      <w:proofErr w:type="spellEnd"/>
      <w:r w:rsidRPr="00ED3677">
        <w:rPr>
          <w:sz w:val="24"/>
          <w:szCs w:val="24"/>
        </w:rPr>
        <w:t xml:space="preserve"> ale </w:t>
      </w:r>
      <w:proofErr w:type="spellStart"/>
      <w:r w:rsidRPr="00ED3677">
        <w:rPr>
          <w:sz w:val="24"/>
          <w:szCs w:val="24"/>
        </w:rPr>
        <w:t>dietei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stilului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viață</w:t>
      </w:r>
      <w:proofErr w:type="spellEnd"/>
      <w:r w:rsidRPr="00ED3677">
        <w:rPr>
          <w:sz w:val="24"/>
          <w:szCs w:val="24"/>
        </w:rPr>
        <w:t xml:space="preserve">. Nu sunt </w:t>
      </w:r>
      <w:proofErr w:type="spellStart"/>
      <w:r w:rsidRPr="00ED3677">
        <w:rPr>
          <w:sz w:val="24"/>
          <w:szCs w:val="24"/>
        </w:rPr>
        <w:t>disponibile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studii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clinice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randomizate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mari</w:t>
      </w:r>
      <w:proofErr w:type="spellEnd"/>
      <w:r w:rsidRPr="00ED3677">
        <w:rPr>
          <w:sz w:val="24"/>
          <w:szCs w:val="24"/>
        </w:rPr>
        <w:t xml:space="preserve"> care </w:t>
      </w:r>
      <w:proofErr w:type="spellStart"/>
      <w:r w:rsidRPr="00ED3677">
        <w:rPr>
          <w:sz w:val="24"/>
          <w:szCs w:val="24"/>
        </w:rPr>
        <w:t>evaluează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aportul</w:t>
      </w:r>
      <w:proofErr w:type="spellEnd"/>
      <w:r w:rsidRPr="00ED3677">
        <w:rPr>
          <w:sz w:val="24"/>
          <w:szCs w:val="24"/>
        </w:rPr>
        <w:t xml:space="preserve"> de lactate pe </w:t>
      </w:r>
      <w:proofErr w:type="spellStart"/>
      <w:r w:rsidRPr="00ED3677">
        <w:rPr>
          <w:sz w:val="24"/>
          <w:szCs w:val="24"/>
        </w:rPr>
        <w:t>perioade</w:t>
      </w:r>
      <w:proofErr w:type="spellEnd"/>
      <w:r w:rsidRPr="00ED3677">
        <w:rPr>
          <w:sz w:val="24"/>
          <w:szCs w:val="24"/>
        </w:rPr>
        <w:t xml:space="preserve"> lungi de </w:t>
      </w:r>
      <w:proofErr w:type="spellStart"/>
      <w:r w:rsidRPr="00ED3677">
        <w:rPr>
          <w:sz w:val="24"/>
          <w:szCs w:val="24"/>
        </w:rPr>
        <w:t>timp.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urmare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trebuie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</w:t>
      </w:r>
      <w:proofErr w:type="spellEnd"/>
      <w:r w:rsidRPr="00ED3677">
        <w:rPr>
          <w:sz w:val="24"/>
          <w:szCs w:val="24"/>
        </w:rPr>
        <w:t xml:space="preserve"> ne </w:t>
      </w:r>
      <w:proofErr w:type="spellStart"/>
      <w:r w:rsidRPr="00ED3677">
        <w:rPr>
          <w:sz w:val="24"/>
          <w:szCs w:val="24"/>
        </w:rPr>
        <w:t>asumăm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această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limitare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stabilim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recomandările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noastre</w:t>
      </w:r>
      <w:proofErr w:type="spellEnd"/>
      <w:r w:rsidRPr="00ED3677">
        <w:rPr>
          <w:sz w:val="24"/>
          <w:szCs w:val="24"/>
        </w:rPr>
        <w:t xml:space="preserve"> pe </w:t>
      </w:r>
      <w:proofErr w:type="spellStart"/>
      <w:r w:rsidRPr="00ED3677">
        <w:rPr>
          <w:sz w:val="24"/>
          <w:szCs w:val="24"/>
        </w:rPr>
        <w:t>baza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bune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studii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observaționale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pe </w:t>
      </w:r>
      <w:proofErr w:type="spellStart"/>
      <w:r w:rsidRPr="00ED3677">
        <w:rPr>
          <w:sz w:val="24"/>
          <w:szCs w:val="24"/>
        </w:rPr>
        <w:t>premisele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biologice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cunoscute</w:t>
      </w:r>
      <w:proofErr w:type="spellEnd"/>
      <w:r w:rsidRPr="00ED3677">
        <w:rPr>
          <w:sz w:val="24"/>
          <w:szCs w:val="24"/>
        </w:rPr>
        <w:t xml:space="preserve"> anterior.</w:t>
      </w:r>
    </w:p>
    <w:p w14:paraId="6A288EB9" w14:textId="4A47874D" w:rsidR="00ED3677" w:rsidRDefault="00ED3677" w:rsidP="00ED3677">
      <w:pPr>
        <w:rPr>
          <w:sz w:val="24"/>
          <w:szCs w:val="24"/>
        </w:rPr>
      </w:pPr>
      <w:proofErr w:type="spellStart"/>
      <w:r w:rsidRPr="00596A17">
        <w:rPr>
          <w:b/>
          <w:bCs/>
          <w:i/>
          <w:iCs/>
          <w:sz w:val="24"/>
          <w:szCs w:val="24"/>
        </w:rPr>
        <w:t>Potasiul</w:t>
      </w:r>
      <w:proofErr w:type="spellEnd"/>
      <w:r w:rsidRPr="00ED3677">
        <w:rPr>
          <w:sz w:val="24"/>
          <w:szCs w:val="24"/>
        </w:rPr>
        <w:t xml:space="preserve"> dietetic </w:t>
      </w:r>
      <w:proofErr w:type="spellStart"/>
      <w:r w:rsidRPr="00ED3677">
        <w:rPr>
          <w:sz w:val="24"/>
          <w:szCs w:val="24"/>
        </w:rPr>
        <w:t>poate</w:t>
      </w:r>
      <w:proofErr w:type="spellEnd"/>
      <w:r w:rsidRPr="00ED3677">
        <w:rPr>
          <w:sz w:val="24"/>
          <w:szCs w:val="24"/>
        </w:rPr>
        <w:t xml:space="preserve"> reduce </w:t>
      </w:r>
      <w:proofErr w:type="spellStart"/>
      <w:r w:rsidRPr="00ED3677">
        <w:rPr>
          <w:sz w:val="24"/>
          <w:szCs w:val="24"/>
        </w:rPr>
        <w:t>sarcina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acid</w:t>
      </w:r>
      <w:r w:rsidR="00D9576D">
        <w:rPr>
          <w:sz w:val="24"/>
          <w:szCs w:val="24"/>
        </w:rPr>
        <w:t>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astfel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epuizarea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calciului</w:t>
      </w:r>
      <w:proofErr w:type="spellEnd"/>
      <w:r w:rsidRPr="00ED3677">
        <w:rPr>
          <w:sz w:val="24"/>
          <w:szCs w:val="24"/>
        </w:rPr>
        <w:t xml:space="preserve"> din </w:t>
      </w:r>
      <w:proofErr w:type="spellStart"/>
      <w:r w:rsidRPr="00ED3677">
        <w:rPr>
          <w:sz w:val="24"/>
          <w:szCs w:val="24"/>
        </w:rPr>
        <w:t>oase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afară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rolul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menținerea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unei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stări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alcaline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organism, </w:t>
      </w:r>
      <w:proofErr w:type="spellStart"/>
      <w:r w:rsidRPr="00ED3677">
        <w:rPr>
          <w:sz w:val="24"/>
          <w:szCs w:val="24"/>
        </w:rPr>
        <w:t>potasiul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crește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acumularea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 </w:t>
      </w:r>
      <w:r w:rsidR="00596A17">
        <w:rPr>
          <w:sz w:val="24"/>
          <w:szCs w:val="24"/>
        </w:rPr>
        <w:t xml:space="preserve">la </w:t>
      </w:r>
      <w:proofErr w:type="spellStart"/>
      <w:r w:rsidR="00596A17">
        <w:rPr>
          <w:sz w:val="24"/>
          <w:szCs w:val="24"/>
        </w:rPr>
        <w:t>nivel</w:t>
      </w:r>
      <w:proofErr w:type="spellEnd"/>
      <w:r w:rsidR="00596A17">
        <w:rPr>
          <w:sz w:val="24"/>
          <w:szCs w:val="24"/>
        </w:rPr>
        <w:t xml:space="preserve"> renal. </w:t>
      </w:r>
      <w:proofErr w:type="spellStart"/>
      <w:r w:rsidRPr="00ED3677">
        <w:rPr>
          <w:sz w:val="24"/>
          <w:szCs w:val="24"/>
        </w:rPr>
        <w:t>Reducerea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resorbției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indică</w:t>
      </w:r>
      <w:proofErr w:type="spellEnd"/>
      <w:r w:rsidRPr="00ED3677">
        <w:rPr>
          <w:sz w:val="24"/>
          <w:szCs w:val="24"/>
        </w:rPr>
        <w:t xml:space="preserve"> un </w:t>
      </w:r>
      <w:proofErr w:type="spellStart"/>
      <w:r w:rsidRPr="00ED3677">
        <w:rPr>
          <w:sz w:val="24"/>
          <w:szCs w:val="24"/>
        </w:rPr>
        <w:t>potențial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avantaj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sănătatea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osoasă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16</w:t>
      </w:r>
      <w:r w:rsidRPr="00ED3677">
        <w:rPr>
          <w:sz w:val="24"/>
          <w:szCs w:val="24"/>
        </w:rPr>
        <w:t>].</w:t>
      </w:r>
    </w:p>
    <w:p w14:paraId="3C11DA1C" w14:textId="0781431E" w:rsidR="00ED3677" w:rsidRPr="00ED3677" w:rsidRDefault="00ED3677" w:rsidP="00ED3677">
      <w:pPr>
        <w:rPr>
          <w:sz w:val="24"/>
          <w:szCs w:val="24"/>
        </w:rPr>
      </w:pPr>
      <w:proofErr w:type="spellStart"/>
      <w:r w:rsidRPr="00596A17">
        <w:rPr>
          <w:b/>
          <w:bCs/>
          <w:i/>
          <w:iCs/>
          <w:sz w:val="24"/>
          <w:szCs w:val="24"/>
        </w:rPr>
        <w:t>Magneziul</w:t>
      </w:r>
      <w:proofErr w:type="spellEnd"/>
      <w:r w:rsidRPr="00596A1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necesar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metabolismul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calciului</w:t>
      </w:r>
      <w:proofErr w:type="spellEnd"/>
      <w:r w:rsidRPr="00ED3677">
        <w:rPr>
          <w:sz w:val="24"/>
          <w:szCs w:val="24"/>
        </w:rPr>
        <w:t xml:space="preserve"> [30]. </w:t>
      </w:r>
      <w:proofErr w:type="spellStart"/>
      <w:r w:rsidRPr="00ED3677">
        <w:rPr>
          <w:sz w:val="24"/>
          <w:szCs w:val="24"/>
        </w:rPr>
        <w:t>După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potasiu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magneziul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a </w:t>
      </w:r>
      <w:proofErr w:type="spellStart"/>
      <w:r w:rsidRPr="00ED3677">
        <w:rPr>
          <w:sz w:val="24"/>
          <w:szCs w:val="24"/>
        </w:rPr>
        <w:t>doua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abundentă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cationi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intracelulară</w:t>
      </w:r>
      <w:proofErr w:type="spellEnd"/>
      <w:r w:rsidRPr="00ED3677">
        <w:rPr>
          <w:sz w:val="24"/>
          <w:szCs w:val="24"/>
        </w:rPr>
        <w:t xml:space="preserve">, cu o </w:t>
      </w:r>
      <w:proofErr w:type="spellStart"/>
      <w:r w:rsidRPr="00ED3677">
        <w:rPr>
          <w:sz w:val="24"/>
          <w:szCs w:val="24"/>
        </w:rPr>
        <w:t>concentrație</w:t>
      </w:r>
      <w:proofErr w:type="spellEnd"/>
      <w:r w:rsidRPr="00ED3677">
        <w:rPr>
          <w:sz w:val="24"/>
          <w:szCs w:val="24"/>
        </w:rPr>
        <w:t xml:space="preserve"> de 10-30 mM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corpul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uman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Magneziul</w:t>
      </w:r>
      <w:proofErr w:type="spellEnd"/>
      <w:r w:rsidRPr="00ED3677">
        <w:rPr>
          <w:sz w:val="24"/>
          <w:szCs w:val="24"/>
        </w:rPr>
        <w:t xml:space="preserve"> se </w:t>
      </w:r>
      <w:proofErr w:type="spellStart"/>
      <w:r w:rsidRPr="00ED3677">
        <w:rPr>
          <w:sz w:val="24"/>
          <w:szCs w:val="24"/>
        </w:rPr>
        <w:t>găsește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multe</w:t>
      </w:r>
      <w:proofErr w:type="spellEnd"/>
      <w:r w:rsidRPr="00ED3677">
        <w:rPr>
          <w:sz w:val="24"/>
          <w:szCs w:val="24"/>
        </w:rPr>
        <w:t xml:space="preserve"> alimente </w:t>
      </w:r>
      <w:proofErr w:type="spellStart"/>
      <w:r w:rsidRPr="00ED3677">
        <w:rPr>
          <w:sz w:val="24"/>
          <w:szCs w:val="24"/>
        </w:rPr>
        <w:t>întregi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ar</w:t>
      </w:r>
      <w:proofErr w:type="spellEnd"/>
      <w:r w:rsidRPr="00ED3677">
        <w:rPr>
          <w:sz w:val="24"/>
          <w:szCs w:val="24"/>
        </w:rPr>
        <w:t xml:space="preserve"> fi legume cu </w:t>
      </w:r>
      <w:proofErr w:type="spellStart"/>
      <w:r w:rsidRPr="00ED3677">
        <w:rPr>
          <w:sz w:val="24"/>
          <w:szCs w:val="24"/>
        </w:rPr>
        <w:t>frunze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verzi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leguminoase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nuci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Dozele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zilnice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recomandate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magneziu</w:t>
      </w:r>
      <w:proofErr w:type="spellEnd"/>
      <w:r w:rsidRPr="00ED3677">
        <w:rPr>
          <w:sz w:val="24"/>
          <w:szCs w:val="24"/>
        </w:rPr>
        <w:t xml:space="preserve"> sunt 310–360 mg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400–420 mg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femei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respectiv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bărbați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Cerințele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variază</w:t>
      </w:r>
      <w:proofErr w:type="spellEnd"/>
      <w:r w:rsidRPr="00ED3677">
        <w:rPr>
          <w:sz w:val="24"/>
          <w:szCs w:val="24"/>
        </w:rPr>
        <w:t xml:space="preserve"> de la o </w:t>
      </w:r>
      <w:proofErr w:type="spellStart"/>
      <w:r w:rsidRPr="00ED3677">
        <w:rPr>
          <w:sz w:val="24"/>
          <w:szCs w:val="24"/>
        </w:rPr>
        <w:t>persoană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alta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funcție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vârstă</w:t>
      </w:r>
      <w:proofErr w:type="spellEnd"/>
      <w:r w:rsidRPr="00ED3677">
        <w:rPr>
          <w:sz w:val="24"/>
          <w:szCs w:val="24"/>
        </w:rPr>
        <w:t xml:space="preserve">, sex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nutrițională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anterioară</w:t>
      </w:r>
      <w:proofErr w:type="spellEnd"/>
      <w:r w:rsidR="00380AA4">
        <w:rPr>
          <w:sz w:val="24"/>
          <w:szCs w:val="24"/>
        </w:rPr>
        <w:t xml:space="preserve"> [17].</w:t>
      </w:r>
    </w:p>
    <w:p w14:paraId="29174284" w14:textId="11E46E84" w:rsidR="00596A17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Magneziul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implicat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schimbul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ioni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potasiu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membranele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celulare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esențială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activitatea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neuronală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contracții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musculare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Aproximativ</w:t>
      </w:r>
      <w:proofErr w:type="spellEnd"/>
      <w:r w:rsidRPr="00ED3677">
        <w:rPr>
          <w:sz w:val="24"/>
          <w:szCs w:val="24"/>
        </w:rPr>
        <w:t xml:space="preserve"> 50-60% din </w:t>
      </w:r>
      <w:proofErr w:type="spellStart"/>
      <w:r w:rsidRPr="00ED3677">
        <w:rPr>
          <w:sz w:val="24"/>
          <w:szCs w:val="24"/>
        </w:rPr>
        <w:t>conținutul</w:t>
      </w:r>
      <w:proofErr w:type="spellEnd"/>
      <w:r w:rsidRPr="00ED3677">
        <w:rPr>
          <w:sz w:val="24"/>
          <w:szCs w:val="24"/>
        </w:rPr>
        <w:t xml:space="preserve"> total de </w:t>
      </w:r>
      <w:proofErr w:type="spellStart"/>
      <w:r w:rsidRPr="00ED3677">
        <w:rPr>
          <w:sz w:val="24"/>
          <w:szCs w:val="24"/>
        </w:rPr>
        <w:t>magneziu</w:t>
      </w:r>
      <w:proofErr w:type="spellEnd"/>
      <w:r w:rsidRPr="00ED3677">
        <w:rPr>
          <w:sz w:val="24"/>
          <w:szCs w:val="24"/>
        </w:rPr>
        <w:t xml:space="preserve"> al </w:t>
      </w:r>
      <w:proofErr w:type="spellStart"/>
      <w:r w:rsidRPr="00ED3677">
        <w:rPr>
          <w:sz w:val="24"/>
          <w:szCs w:val="24"/>
        </w:rPr>
        <w:t>corpului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acumulat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structura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osului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ionii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magneziu</w:t>
      </w:r>
      <w:proofErr w:type="spellEnd"/>
      <w:r w:rsidRPr="00ED3677">
        <w:rPr>
          <w:sz w:val="24"/>
          <w:szCs w:val="24"/>
        </w:rPr>
        <w:t xml:space="preserve"> se </w:t>
      </w:r>
      <w:proofErr w:type="spellStart"/>
      <w:r w:rsidRPr="00ED3677">
        <w:rPr>
          <w:sz w:val="24"/>
          <w:szCs w:val="24"/>
        </w:rPr>
        <w:t>leagă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suprafața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cristalelor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hidroxiapatit</w:t>
      </w:r>
      <w:r w:rsidR="00596A17">
        <w:rPr>
          <w:sz w:val="24"/>
          <w:szCs w:val="24"/>
        </w:rPr>
        <w:t>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îmbunătățesc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solubilitatea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fosforului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hidroxiapatitei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urmare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influențează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dimensiunea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formarea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cristalului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plus, </w:t>
      </w:r>
      <w:proofErr w:type="spellStart"/>
      <w:r w:rsidRPr="00ED3677">
        <w:rPr>
          <w:sz w:val="24"/>
          <w:szCs w:val="24"/>
        </w:rPr>
        <w:t>magneziul</w:t>
      </w:r>
      <w:proofErr w:type="spellEnd"/>
      <w:r w:rsidRPr="00ED3677">
        <w:rPr>
          <w:sz w:val="24"/>
          <w:szCs w:val="24"/>
        </w:rPr>
        <w:t xml:space="preserve"> induce </w:t>
      </w:r>
      <w:proofErr w:type="spellStart"/>
      <w:r w:rsidRPr="00ED3677">
        <w:rPr>
          <w:sz w:val="24"/>
          <w:szCs w:val="24"/>
        </w:rPr>
        <w:t>proliferarea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osteoblastului</w:t>
      </w:r>
      <w:proofErr w:type="spellEnd"/>
      <w:r w:rsidRPr="00ED3677">
        <w:rPr>
          <w:sz w:val="24"/>
          <w:szCs w:val="24"/>
        </w:rPr>
        <w:t xml:space="preserve">;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urmare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deficiența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asociată</w:t>
      </w:r>
      <w:proofErr w:type="spellEnd"/>
      <w:r w:rsidRPr="00ED3677">
        <w:rPr>
          <w:sz w:val="24"/>
          <w:szCs w:val="24"/>
        </w:rPr>
        <w:t xml:space="preserve"> cu </w:t>
      </w:r>
      <w:proofErr w:type="spellStart"/>
      <w:r w:rsidRPr="00ED3677">
        <w:rPr>
          <w:sz w:val="24"/>
          <w:szCs w:val="24"/>
        </w:rPr>
        <w:t>formarea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redusă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18</w:t>
      </w:r>
      <w:r w:rsidRPr="00ED3677">
        <w:rPr>
          <w:sz w:val="24"/>
          <w:szCs w:val="24"/>
        </w:rPr>
        <w:t xml:space="preserve">]. </w:t>
      </w:r>
    </w:p>
    <w:p w14:paraId="2969091C" w14:textId="1006EAE7" w:rsidR="00ED3677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Magneziul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necesar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activarea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vitaminei</w:t>
      </w:r>
      <w:proofErr w:type="spellEnd"/>
      <w:r w:rsidRPr="00ED3677">
        <w:rPr>
          <w:sz w:val="24"/>
          <w:szCs w:val="24"/>
        </w:rPr>
        <w:t xml:space="preserve"> D, </w:t>
      </w:r>
      <w:proofErr w:type="spellStart"/>
      <w:r w:rsidRPr="00ED3677">
        <w:rPr>
          <w:sz w:val="24"/>
          <w:szCs w:val="24"/>
        </w:rPr>
        <w:t>deoarece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majoritatea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enzimelor</w:t>
      </w:r>
      <w:proofErr w:type="spellEnd"/>
      <w:r w:rsidRPr="00ED3677">
        <w:rPr>
          <w:sz w:val="24"/>
          <w:szCs w:val="24"/>
        </w:rPr>
        <w:t xml:space="preserve"> implicate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metabolismul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vitaminei</w:t>
      </w:r>
      <w:proofErr w:type="spellEnd"/>
      <w:r w:rsidRPr="00ED3677">
        <w:rPr>
          <w:sz w:val="24"/>
          <w:szCs w:val="24"/>
        </w:rPr>
        <w:t xml:space="preserve"> D </w:t>
      </w:r>
      <w:proofErr w:type="spellStart"/>
      <w:r w:rsidRPr="00ED3677">
        <w:rPr>
          <w:sz w:val="24"/>
          <w:szCs w:val="24"/>
        </w:rPr>
        <w:t>necesită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magneziu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19</w:t>
      </w:r>
      <w:r w:rsidRPr="00ED3677">
        <w:rPr>
          <w:sz w:val="24"/>
          <w:szCs w:val="24"/>
        </w:rPr>
        <w:t>].</w:t>
      </w:r>
      <w:r w:rsidR="00596A17" w:rsidRPr="00596A17">
        <w:rPr>
          <w:color w:val="000000"/>
          <w:shd w:val="clear" w:color="auto" w:fill="FFFFFF"/>
        </w:rPr>
        <w:t xml:space="preserve"> </w:t>
      </w:r>
    </w:p>
    <w:p w14:paraId="4E72AF32" w14:textId="2C4CA4AD" w:rsidR="00ED3677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Populațiile</w:t>
      </w:r>
      <w:proofErr w:type="spellEnd"/>
      <w:r w:rsidRPr="00ED3677">
        <w:rPr>
          <w:sz w:val="24"/>
          <w:szCs w:val="24"/>
        </w:rPr>
        <w:t xml:space="preserve"> care </w:t>
      </w:r>
      <w:proofErr w:type="spellStart"/>
      <w:r w:rsidRPr="00ED3677">
        <w:rPr>
          <w:sz w:val="24"/>
          <w:szCs w:val="24"/>
        </w:rPr>
        <w:t>consumă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multe</w:t>
      </w:r>
      <w:proofErr w:type="spellEnd"/>
      <w:r w:rsidRPr="00ED3677">
        <w:rPr>
          <w:sz w:val="24"/>
          <w:szCs w:val="24"/>
        </w:rPr>
        <w:t xml:space="preserve"> alimente </w:t>
      </w:r>
      <w:proofErr w:type="spellStart"/>
      <w:r w:rsidRPr="00ED3677">
        <w:rPr>
          <w:sz w:val="24"/>
          <w:szCs w:val="24"/>
        </w:rPr>
        <w:t>procesate</w:t>
      </w:r>
      <w:proofErr w:type="spellEnd"/>
      <w:r w:rsidRPr="00ED3677">
        <w:rPr>
          <w:sz w:val="24"/>
          <w:szCs w:val="24"/>
        </w:rPr>
        <w:t xml:space="preserve"> (</w:t>
      </w:r>
      <w:proofErr w:type="spellStart"/>
      <w:r w:rsidRPr="00ED3677">
        <w:rPr>
          <w:sz w:val="24"/>
          <w:szCs w:val="24"/>
        </w:rPr>
        <w:t>boabe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rafinate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zaharuri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grăsimi</w:t>
      </w:r>
      <w:proofErr w:type="spellEnd"/>
      <w:r w:rsidRPr="00ED3677">
        <w:rPr>
          <w:sz w:val="24"/>
          <w:szCs w:val="24"/>
        </w:rPr>
        <w:t xml:space="preserve">) au </w:t>
      </w:r>
      <w:proofErr w:type="spellStart"/>
      <w:r w:rsidRPr="00ED3677">
        <w:rPr>
          <w:sz w:val="24"/>
          <w:szCs w:val="24"/>
        </w:rPr>
        <w:t>niveluri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scăzute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magneziu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așa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tipic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Statele</w:t>
      </w:r>
      <w:proofErr w:type="spellEnd"/>
      <w:r w:rsidRPr="00ED3677">
        <w:rPr>
          <w:sz w:val="24"/>
          <w:szCs w:val="24"/>
        </w:rPr>
        <w:t xml:space="preserve"> Unite. O </w:t>
      </w:r>
      <w:proofErr w:type="spellStart"/>
      <w:r w:rsidRPr="00ED3677">
        <w:rPr>
          <w:sz w:val="24"/>
          <w:szCs w:val="24"/>
        </w:rPr>
        <w:t>problemă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semnificativă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apare</w:t>
      </w:r>
      <w:proofErr w:type="spellEnd"/>
      <w:r w:rsidRPr="00ED3677">
        <w:rPr>
          <w:sz w:val="24"/>
          <w:szCs w:val="24"/>
        </w:rPr>
        <w:t xml:space="preserve"> din </w:t>
      </w:r>
      <w:proofErr w:type="spellStart"/>
      <w:r w:rsidRPr="00ED3677">
        <w:rPr>
          <w:sz w:val="24"/>
          <w:szCs w:val="24"/>
        </w:rPr>
        <w:t>solul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utilizat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agricultură</w:t>
      </w:r>
      <w:proofErr w:type="spellEnd"/>
      <w:r w:rsidRPr="00ED3677">
        <w:rPr>
          <w:sz w:val="24"/>
          <w:szCs w:val="24"/>
        </w:rPr>
        <w:t xml:space="preserve">, care </w:t>
      </w:r>
      <w:proofErr w:type="spellStart"/>
      <w:r w:rsidRPr="00ED3677">
        <w:rPr>
          <w:sz w:val="24"/>
          <w:szCs w:val="24"/>
        </w:rPr>
        <w:t>devine</w:t>
      </w:r>
      <w:proofErr w:type="spellEnd"/>
      <w:r w:rsidRPr="00ED3677">
        <w:rPr>
          <w:sz w:val="24"/>
          <w:szCs w:val="24"/>
        </w:rPr>
        <w:t xml:space="preserve"> din </w:t>
      </w:r>
      <w:proofErr w:type="spellStart"/>
      <w:r w:rsidRPr="00ED3677">
        <w:rPr>
          <w:sz w:val="24"/>
          <w:szCs w:val="24"/>
        </w:rPr>
        <w:t>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deficitar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minerale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esențiale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ar</w:t>
      </w:r>
      <w:proofErr w:type="spellEnd"/>
      <w:r w:rsidRPr="00ED3677">
        <w:rPr>
          <w:sz w:val="24"/>
          <w:szCs w:val="24"/>
        </w:rPr>
        <w:t xml:space="preserve"> fi </w:t>
      </w:r>
      <w:proofErr w:type="spellStart"/>
      <w:r w:rsidRPr="00ED3677">
        <w:rPr>
          <w:sz w:val="24"/>
          <w:szCs w:val="24"/>
        </w:rPr>
        <w:t>magneziu</w:t>
      </w:r>
      <w:proofErr w:type="spellEnd"/>
      <w:r w:rsidRPr="00ED3677">
        <w:rPr>
          <w:sz w:val="24"/>
          <w:szCs w:val="24"/>
        </w:rPr>
        <w:t>.</w:t>
      </w:r>
    </w:p>
    <w:p w14:paraId="3AC83F16" w14:textId="77777777" w:rsidR="002429A5" w:rsidRPr="002429A5" w:rsidRDefault="002429A5" w:rsidP="002429A5">
      <w:pPr>
        <w:rPr>
          <w:sz w:val="24"/>
          <w:szCs w:val="24"/>
        </w:rPr>
      </w:pPr>
      <w:proofErr w:type="spellStart"/>
      <w:r w:rsidRPr="002429A5">
        <w:rPr>
          <w:b/>
          <w:bCs/>
          <w:sz w:val="24"/>
          <w:szCs w:val="24"/>
        </w:rPr>
        <w:t>Zincul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poate</w:t>
      </w:r>
      <w:proofErr w:type="spellEnd"/>
      <w:r w:rsidRPr="002429A5">
        <w:rPr>
          <w:sz w:val="24"/>
          <w:szCs w:val="24"/>
        </w:rPr>
        <w:t xml:space="preserve"> fi </w:t>
      </w:r>
      <w:proofErr w:type="spellStart"/>
      <w:r w:rsidRPr="002429A5">
        <w:rPr>
          <w:sz w:val="24"/>
          <w:szCs w:val="24"/>
        </w:rPr>
        <w:t>găsit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în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fasole</w:t>
      </w:r>
      <w:proofErr w:type="spellEnd"/>
      <w:r w:rsidRPr="002429A5">
        <w:rPr>
          <w:sz w:val="24"/>
          <w:szCs w:val="24"/>
        </w:rPr>
        <w:t xml:space="preserve">, </w:t>
      </w:r>
      <w:proofErr w:type="spellStart"/>
      <w:r w:rsidRPr="002429A5">
        <w:rPr>
          <w:sz w:val="24"/>
          <w:szCs w:val="24"/>
        </w:rPr>
        <w:t>nuci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și</w:t>
      </w:r>
      <w:proofErr w:type="spellEnd"/>
      <w:r w:rsidRPr="002429A5">
        <w:rPr>
          <w:sz w:val="24"/>
          <w:szCs w:val="24"/>
        </w:rPr>
        <w:t xml:space="preserve"> cereale </w:t>
      </w:r>
      <w:proofErr w:type="spellStart"/>
      <w:r w:rsidRPr="002429A5">
        <w:rPr>
          <w:sz w:val="24"/>
          <w:szCs w:val="24"/>
        </w:rPr>
        <w:t>integrale</w:t>
      </w:r>
      <w:proofErr w:type="spellEnd"/>
      <w:r w:rsidRPr="002429A5">
        <w:rPr>
          <w:sz w:val="24"/>
          <w:szCs w:val="24"/>
        </w:rPr>
        <w:t xml:space="preserve">, </w:t>
      </w:r>
      <w:proofErr w:type="spellStart"/>
      <w:r w:rsidRPr="002429A5">
        <w:rPr>
          <w:sz w:val="24"/>
          <w:szCs w:val="24"/>
        </w:rPr>
        <w:t>dar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fitatul</w:t>
      </w:r>
      <w:proofErr w:type="spellEnd"/>
      <w:r w:rsidRPr="002429A5">
        <w:rPr>
          <w:sz w:val="24"/>
          <w:szCs w:val="24"/>
        </w:rPr>
        <w:t xml:space="preserve"> din </w:t>
      </w:r>
      <w:proofErr w:type="spellStart"/>
      <w:r w:rsidRPr="002429A5">
        <w:rPr>
          <w:sz w:val="24"/>
          <w:szCs w:val="24"/>
        </w:rPr>
        <w:t>aceste</w:t>
      </w:r>
      <w:proofErr w:type="spellEnd"/>
      <w:r w:rsidRPr="002429A5">
        <w:rPr>
          <w:sz w:val="24"/>
          <w:szCs w:val="24"/>
        </w:rPr>
        <w:t xml:space="preserve"> alimente </w:t>
      </w:r>
      <w:proofErr w:type="spellStart"/>
      <w:r w:rsidRPr="002429A5">
        <w:rPr>
          <w:sz w:val="24"/>
          <w:szCs w:val="24"/>
        </w:rPr>
        <w:t>îl</w:t>
      </w:r>
      <w:proofErr w:type="spellEnd"/>
      <w:r w:rsidRPr="002429A5">
        <w:rPr>
          <w:sz w:val="24"/>
          <w:szCs w:val="24"/>
        </w:rPr>
        <w:t xml:space="preserve"> face </w:t>
      </w:r>
      <w:proofErr w:type="spellStart"/>
      <w:r w:rsidRPr="002429A5">
        <w:rPr>
          <w:sz w:val="24"/>
          <w:szCs w:val="24"/>
        </w:rPr>
        <w:t>mai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puțin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biodisponibil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decât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zincul</w:t>
      </w:r>
      <w:proofErr w:type="spellEnd"/>
      <w:r w:rsidRPr="002429A5">
        <w:rPr>
          <w:sz w:val="24"/>
          <w:szCs w:val="24"/>
        </w:rPr>
        <w:t xml:space="preserve"> din </w:t>
      </w:r>
      <w:proofErr w:type="spellStart"/>
      <w:r w:rsidRPr="002429A5">
        <w:rPr>
          <w:sz w:val="24"/>
          <w:szCs w:val="24"/>
        </w:rPr>
        <w:t>surse</w:t>
      </w:r>
      <w:proofErr w:type="spellEnd"/>
      <w:r w:rsidRPr="002429A5">
        <w:rPr>
          <w:sz w:val="24"/>
          <w:szCs w:val="24"/>
        </w:rPr>
        <w:t xml:space="preserve"> pe </w:t>
      </w:r>
      <w:proofErr w:type="spellStart"/>
      <w:r w:rsidRPr="002429A5">
        <w:rPr>
          <w:sz w:val="24"/>
          <w:szCs w:val="24"/>
        </w:rPr>
        <w:t>bază</w:t>
      </w:r>
      <w:proofErr w:type="spellEnd"/>
      <w:r w:rsidRPr="002429A5">
        <w:rPr>
          <w:sz w:val="24"/>
          <w:szCs w:val="24"/>
        </w:rPr>
        <w:t xml:space="preserve"> de </w:t>
      </w:r>
      <w:proofErr w:type="spellStart"/>
      <w:r w:rsidRPr="002429A5">
        <w:rPr>
          <w:sz w:val="24"/>
          <w:szCs w:val="24"/>
        </w:rPr>
        <w:t>animale</w:t>
      </w:r>
      <w:proofErr w:type="spellEnd"/>
      <w:r w:rsidRPr="002429A5">
        <w:rPr>
          <w:sz w:val="24"/>
          <w:szCs w:val="24"/>
        </w:rPr>
        <w:t xml:space="preserve">. </w:t>
      </w:r>
      <w:proofErr w:type="spellStart"/>
      <w:r w:rsidRPr="002429A5">
        <w:rPr>
          <w:sz w:val="24"/>
          <w:szCs w:val="24"/>
        </w:rPr>
        <w:t>Concentrații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mai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mici</w:t>
      </w:r>
      <w:proofErr w:type="spellEnd"/>
      <w:r w:rsidRPr="002429A5">
        <w:rPr>
          <w:sz w:val="24"/>
          <w:szCs w:val="24"/>
        </w:rPr>
        <w:t xml:space="preserve"> de ser </w:t>
      </w:r>
      <w:proofErr w:type="spellStart"/>
      <w:r w:rsidRPr="002429A5">
        <w:rPr>
          <w:sz w:val="24"/>
          <w:szCs w:val="24"/>
        </w:rPr>
        <w:t>și</w:t>
      </w:r>
      <w:proofErr w:type="spellEnd"/>
      <w:r w:rsidRPr="002429A5">
        <w:rPr>
          <w:sz w:val="24"/>
          <w:szCs w:val="24"/>
        </w:rPr>
        <w:t xml:space="preserve"> zinc </w:t>
      </w:r>
      <w:proofErr w:type="spellStart"/>
      <w:r w:rsidRPr="002429A5">
        <w:rPr>
          <w:sz w:val="24"/>
          <w:szCs w:val="24"/>
        </w:rPr>
        <w:t>osos</w:t>
      </w:r>
      <w:proofErr w:type="spellEnd"/>
      <w:r w:rsidRPr="002429A5">
        <w:rPr>
          <w:sz w:val="24"/>
          <w:szCs w:val="24"/>
        </w:rPr>
        <w:t xml:space="preserve"> au </w:t>
      </w:r>
      <w:proofErr w:type="spellStart"/>
      <w:r w:rsidRPr="002429A5">
        <w:rPr>
          <w:sz w:val="24"/>
          <w:szCs w:val="24"/>
        </w:rPr>
        <w:t>fost</w:t>
      </w:r>
      <w:proofErr w:type="spellEnd"/>
      <w:r w:rsidRPr="002429A5">
        <w:rPr>
          <w:sz w:val="24"/>
          <w:szCs w:val="24"/>
        </w:rPr>
        <w:t xml:space="preserve"> </w:t>
      </w:r>
      <w:proofErr w:type="spellStart"/>
      <w:r w:rsidRPr="002429A5">
        <w:rPr>
          <w:sz w:val="24"/>
          <w:szCs w:val="24"/>
        </w:rPr>
        <w:t>descrise</w:t>
      </w:r>
      <w:proofErr w:type="spellEnd"/>
      <w:r w:rsidRPr="002429A5">
        <w:rPr>
          <w:sz w:val="24"/>
          <w:szCs w:val="24"/>
        </w:rPr>
        <w:t xml:space="preserve"> la </w:t>
      </w:r>
      <w:proofErr w:type="spellStart"/>
      <w:r w:rsidRPr="002429A5">
        <w:rPr>
          <w:sz w:val="24"/>
          <w:szCs w:val="24"/>
        </w:rPr>
        <w:t>pacienții</w:t>
      </w:r>
      <w:proofErr w:type="spellEnd"/>
      <w:r w:rsidRPr="002429A5">
        <w:rPr>
          <w:sz w:val="24"/>
          <w:szCs w:val="24"/>
        </w:rPr>
        <w:t xml:space="preserve"> cu </w:t>
      </w:r>
      <w:proofErr w:type="spellStart"/>
      <w:r w:rsidRPr="002429A5">
        <w:rPr>
          <w:sz w:val="24"/>
          <w:szCs w:val="24"/>
        </w:rPr>
        <w:t>osteoporoză</w:t>
      </w:r>
      <w:proofErr w:type="spellEnd"/>
      <w:r w:rsidRPr="002429A5">
        <w:rPr>
          <w:sz w:val="24"/>
          <w:szCs w:val="24"/>
        </w:rPr>
        <w:t xml:space="preserve"> [30].</w:t>
      </w:r>
    </w:p>
    <w:p w14:paraId="383DAD7B" w14:textId="0DB40659" w:rsidR="00ED3677" w:rsidRPr="004E0AB4" w:rsidRDefault="00ED3677" w:rsidP="00ED3677">
      <w:pPr>
        <w:rPr>
          <w:b/>
          <w:bCs/>
          <w:sz w:val="24"/>
          <w:szCs w:val="24"/>
        </w:rPr>
      </w:pPr>
      <w:proofErr w:type="spellStart"/>
      <w:r w:rsidRPr="004E0AB4">
        <w:rPr>
          <w:b/>
          <w:bCs/>
          <w:sz w:val="24"/>
          <w:szCs w:val="24"/>
        </w:rPr>
        <w:t>Aportul</w:t>
      </w:r>
      <w:proofErr w:type="spellEnd"/>
      <w:r w:rsidRPr="004E0AB4">
        <w:rPr>
          <w:b/>
          <w:bCs/>
          <w:sz w:val="24"/>
          <w:szCs w:val="24"/>
        </w:rPr>
        <w:t xml:space="preserve"> de </w:t>
      </w:r>
      <w:proofErr w:type="spellStart"/>
      <w:r w:rsidRPr="004E0AB4">
        <w:rPr>
          <w:b/>
          <w:bCs/>
          <w:sz w:val="24"/>
          <w:szCs w:val="24"/>
        </w:rPr>
        <w:t>proteine</w:t>
      </w:r>
      <w:proofErr w:type="spellEnd"/>
    </w:p>
    <w:p w14:paraId="08184659" w14:textId="77777777" w:rsidR="0027772D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Aportul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esențială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sănătatea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oaselor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Aproximativ</w:t>
      </w:r>
      <w:proofErr w:type="spellEnd"/>
      <w:r w:rsidRPr="00ED3677">
        <w:rPr>
          <w:sz w:val="24"/>
          <w:szCs w:val="24"/>
        </w:rPr>
        <w:t xml:space="preserve"> 50% din </w:t>
      </w:r>
      <w:proofErr w:type="spellStart"/>
      <w:r w:rsidRPr="00ED3677">
        <w:rPr>
          <w:sz w:val="24"/>
          <w:szCs w:val="24"/>
        </w:rPr>
        <w:t>volumul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osos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aproximativ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treime</w:t>
      </w:r>
      <w:proofErr w:type="spellEnd"/>
      <w:r w:rsidRPr="00ED3677">
        <w:rPr>
          <w:sz w:val="24"/>
          <w:szCs w:val="24"/>
        </w:rPr>
        <w:t xml:space="preserve"> din masa </w:t>
      </w:r>
      <w:proofErr w:type="spellStart"/>
      <w:r w:rsidRPr="00ED3677">
        <w:rPr>
          <w:sz w:val="24"/>
          <w:szCs w:val="24"/>
        </w:rPr>
        <w:t>osoasă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compus</w:t>
      </w:r>
      <w:proofErr w:type="spellEnd"/>
      <w:r w:rsidRPr="00ED3677">
        <w:rPr>
          <w:sz w:val="24"/>
          <w:szCs w:val="24"/>
        </w:rPr>
        <w:t xml:space="preserve"> din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Ele</w:t>
      </w:r>
      <w:proofErr w:type="spellEnd"/>
      <w:r w:rsidRPr="00ED3677">
        <w:rPr>
          <w:sz w:val="24"/>
          <w:szCs w:val="24"/>
        </w:rPr>
        <w:t xml:space="preserve"> sunt integrate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matricea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organică</w:t>
      </w:r>
      <w:proofErr w:type="spellEnd"/>
      <w:r w:rsidRPr="00ED3677">
        <w:rPr>
          <w:sz w:val="24"/>
          <w:szCs w:val="24"/>
        </w:rPr>
        <w:t xml:space="preserve"> </w:t>
      </w:r>
      <w:proofErr w:type="gramStart"/>
      <w:r w:rsidRPr="00ED3677">
        <w:rPr>
          <w:sz w:val="24"/>
          <w:szCs w:val="24"/>
        </w:rPr>
        <w:t>a</w:t>
      </w:r>
      <w:proofErr w:type="gram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osului</w:t>
      </w:r>
      <w:proofErr w:type="spellEnd"/>
      <w:r w:rsidRPr="00ED3677">
        <w:rPr>
          <w:sz w:val="24"/>
          <w:szCs w:val="24"/>
        </w:rPr>
        <w:t xml:space="preserve"> ca </w:t>
      </w:r>
      <w:proofErr w:type="spellStart"/>
      <w:r w:rsidRPr="00ED3677">
        <w:rPr>
          <w:sz w:val="24"/>
          <w:szCs w:val="24"/>
        </w:rPr>
        <w:t>parte</w:t>
      </w:r>
      <w:proofErr w:type="spellEnd"/>
      <w:r w:rsidRPr="00ED3677">
        <w:rPr>
          <w:sz w:val="24"/>
          <w:szCs w:val="24"/>
        </w:rPr>
        <w:t xml:space="preserve"> a </w:t>
      </w:r>
      <w:proofErr w:type="spellStart"/>
      <w:r w:rsidRPr="00ED3677">
        <w:rPr>
          <w:sz w:val="24"/>
          <w:szCs w:val="24"/>
        </w:rPr>
        <w:t>structurii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colagenului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atunci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când</w:t>
      </w:r>
      <w:proofErr w:type="spellEnd"/>
      <w:r w:rsidRPr="00ED3677">
        <w:rPr>
          <w:sz w:val="24"/>
          <w:szCs w:val="24"/>
        </w:rPr>
        <w:t xml:space="preserve"> are loc </w:t>
      </w:r>
      <w:proofErr w:type="spellStart"/>
      <w:r w:rsidRPr="00ED3677">
        <w:rPr>
          <w:sz w:val="24"/>
          <w:szCs w:val="24"/>
        </w:rPr>
        <w:t>mineralizarea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Proteinele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dietetice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afectează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secreția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acțiunea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factorului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creștere</w:t>
      </w:r>
      <w:proofErr w:type="spellEnd"/>
      <w:r w:rsidRPr="00ED3677">
        <w:rPr>
          <w:sz w:val="24"/>
          <w:szCs w:val="24"/>
        </w:rPr>
        <w:t xml:space="preserve"> insulin-like I (IGF-I), un </w:t>
      </w:r>
      <w:proofErr w:type="spellStart"/>
      <w:r w:rsidRPr="00ED3677">
        <w:rPr>
          <w:sz w:val="24"/>
          <w:szCs w:val="24"/>
        </w:rPr>
        <w:t>hormon</w:t>
      </w:r>
      <w:proofErr w:type="spellEnd"/>
      <w:r w:rsidRPr="00ED3677">
        <w:rPr>
          <w:sz w:val="24"/>
          <w:szCs w:val="24"/>
        </w:rPr>
        <w:t xml:space="preserve"> important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formarea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oaselor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Hormonul</w:t>
      </w:r>
      <w:proofErr w:type="spellEnd"/>
      <w:r w:rsidRPr="00ED3677">
        <w:rPr>
          <w:sz w:val="24"/>
          <w:szCs w:val="24"/>
        </w:rPr>
        <w:t xml:space="preserve"> IGF-I </w:t>
      </w:r>
      <w:proofErr w:type="spellStart"/>
      <w:r w:rsidRPr="00ED3677">
        <w:rPr>
          <w:sz w:val="24"/>
          <w:szCs w:val="24"/>
        </w:rPr>
        <w:t>imbunatateste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absorbtia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calciului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fosforului</w:t>
      </w:r>
      <w:proofErr w:type="spellEnd"/>
      <w:r w:rsidRPr="00ED3677">
        <w:rPr>
          <w:sz w:val="24"/>
          <w:szCs w:val="24"/>
        </w:rPr>
        <w:t xml:space="preserve"> in </w:t>
      </w:r>
      <w:proofErr w:type="spellStart"/>
      <w:r w:rsidRPr="00ED3677">
        <w:rPr>
          <w:sz w:val="24"/>
          <w:szCs w:val="24"/>
        </w:rPr>
        <w:t>intestin</w:t>
      </w:r>
      <w:proofErr w:type="spellEnd"/>
      <w:r w:rsidRPr="00ED3677">
        <w:rPr>
          <w:sz w:val="24"/>
          <w:szCs w:val="24"/>
        </w:rPr>
        <w:t xml:space="preserve">;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implicat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sinteza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calcitriolului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crește</w:t>
      </w:r>
      <w:proofErr w:type="spellEnd"/>
      <w:r w:rsidRPr="00ED3677">
        <w:rPr>
          <w:sz w:val="24"/>
          <w:szCs w:val="24"/>
        </w:rPr>
        <w:t xml:space="preserve"> rata </w:t>
      </w:r>
      <w:proofErr w:type="spellStart"/>
      <w:r w:rsidRPr="00ED3677">
        <w:rPr>
          <w:sz w:val="24"/>
          <w:szCs w:val="24"/>
        </w:rPr>
        <w:t>reabsorbției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fosfatului</w:t>
      </w:r>
      <w:proofErr w:type="spellEnd"/>
      <w:r w:rsidRPr="00ED3677">
        <w:rPr>
          <w:sz w:val="24"/>
          <w:szCs w:val="24"/>
        </w:rPr>
        <w:t xml:space="preserve"> din </w:t>
      </w:r>
      <w:proofErr w:type="spellStart"/>
      <w:r w:rsidRPr="00ED3677">
        <w:rPr>
          <w:sz w:val="24"/>
          <w:szCs w:val="24"/>
        </w:rPr>
        <w:t>rinichi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urmare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necesară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cantitate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adecvată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dietetice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menținerea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sănătății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. </w:t>
      </w:r>
    </w:p>
    <w:p w14:paraId="50D6BBD4" w14:textId="3A0A9259" w:rsidR="0027772D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Societatea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Europeană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Aspecte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Clinice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Economice</w:t>
      </w:r>
      <w:proofErr w:type="spellEnd"/>
      <w:r w:rsidRPr="00ED3677">
        <w:rPr>
          <w:sz w:val="24"/>
          <w:szCs w:val="24"/>
        </w:rPr>
        <w:t xml:space="preserve"> ale </w:t>
      </w:r>
      <w:proofErr w:type="spellStart"/>
      <w:r w:rsidRPr="00ED3677">
        <w:rPr>
          <w:sz w:val="24"/>
          <w:szCs w:val="24"/>
        </w:rPr>
        <w:t>Osteoporozei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Osteoartritei</w:t>
      </w:r>
      <w:proofErr w:type="spellEnd"/>
      <w:r w:rsidRPr="00ED3677">
        <w:rPr>
          <w:sz w:val="24"/>
          <w:szCs w:val="24"/>
        </w:rPr>
        <w:t xml:space="preserve"> </w:t>
      </w:r>
      <w:r w:rsidRPr="0027772D">
        <w:rPr>
          <w:i/>
          <w:iCs/>
          <w:sz w:val="24"/>
          <w:szCs w:val="24"/>
        </w:rPr>
        <w:t>(</w:t>
      </w:r>
      <w:r w:rsidR="0027772D" w:rsidRPr="0027772D">
        <w:rPr>
          <w:i/>
          <w:iCs/>
          <w:color w:val="000000"/>
          <w:sz w:val="24"/>
          <w:szCs w:val="24"/>
          <w:shd w:val="clear" w:color="auto" w:fill="FFFFFF"/>
        </w:rPr>
        <w:t xml:space="preserve">The European Society for Clinical and Economic Aspects of Osteoporosis and Osteoarthritis </w:t>
      </w:r>
      <w:r w:rsidR="0027772D" w:rsidRPr="0027772D">
        <w:rPr>
          <w:i/>
          <w:iCs/>
          <w:color w:val="000000"/>
          <w:sz w:val="24"/>
          <w:szCs w:val="24"/>
          <w:shd w:val="clear" w:color="auto" w:fill="FFFFFF"/>
        </w:rPr>
        <w:t xml:space="preserve">- </w:t>
      </w:r>
      <w:r w:rsidRPr="0027772D">
        <w:rPr>
          <w:i/>
          <w:iCs/>
          <w:sz w:val="24"/>
          <w:szCs w:val="24"/>
        </w:rPr>
        <w:t>ESCEO)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recomandă</w:t>
      </w:r>
      <w:proofErr w:type="spellEnd"/>
      <w:r w:rsidRPr="00ED3677">
        <w:rPr>
          <w:sz w:val="24"/>
          <w:szCs w:val="24"/>
        </w:rPr>
        <w:t xml:space="preserve"> un </w:t>
      </w:r>
      <w:proofErr w:type="spellStart"/>
      <w:r w:rsidRPr="00ED3677">
        <w:rPr>
          <w:sz w:val="24"/>
          <w:szCs w:val="24"/>
        </w:rPr>
        <w:t>aport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alimentar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de 1,0–1,2 g/kg </w:t>
      </w:r>
      <w:proofErr w:type="spellStart"/>
      <w:r w:rsidRPr="00ED3677">
        <w:rPr>
          <w:sz w:val="24"/>
          <w:szCs w:val="24"/>
        </w:rPr>
        <w:t>greutate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corporală</w:t>
      </w:r>
      <w:proofErr w:type="spellEnd"/>
      <w:r w:rsidRPr="00ED3677">
        <w:rPr>
          <w:sz w:val="24"/>
          <w:szCs w:val="24"/>
        </w:rPr>
        <w:t>/</w:t>
      </w:r>
      <w:proofErr w:type="spellStart"/>
      <w:r w:rsidRPr="00ED3677">
        <w:rPr>
          <w:sz w:val="24"/>
          <w:szCs w:val="24"/>
        </w:rPr>
        <w:t>zi</w:t>
      </w:r>
      <w:proofErr w:type="spellEnd"/>
      <w:r w:rsidRPr="00ED3677">
        <w:rPr>
          <w:sz w:val="24"/>
          <w:szCs w:val="24"/>
        </w:rPr>
        <w:t xml:space="preserve">, cu </w:t>
      </w:r>
      <w:proofErr w:type="spellStart"/>
      <w:r w:rsidRPr="00ED3677">
        <w:rPr>
          <w:sz w:val="24"/>
          <w:szCs w:val="24"/>
        </w:rPr>
        <w:t>cel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puțin</w:t>
      </w:r>
      <w:proofErr w:type="spellEnd"/>
      <w:r w:rsidRPr="00ED3677">
        <w:rPr>
          <w:sz w:val="24"/>
          <w:szCs w:val="24"/>
        </w:rPr>
        <w:t xml:space="preserve"> 20-25 g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înaltă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calitate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fiecare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principală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20</w:t>
      </w:r>
      <w:r w:rsidRPr="00ED3677">
        <w:rPr>
          <w:sz w:val="24"/>
          <w:szCs w:val="24"/>
        </w:rPr>
        <w:t xml:space="preserve">]. </w:t>
      </w:r>
    </w:p>
    <w:p w14:paraId="099A32C4" w14:textId="15ED328E" w:rsidR="0027772D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Aportul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adecvat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imperativ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formarea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întreținerea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matricei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>. Meta-</w:t>
      </w:r>
      <w:proofErr w:type="spellStart"/>
      <w:r w:rsidRPr="00ED3677">
        <w:rPr>
          <w:sz w:val="24"/>
          <w:szCs w:val="24"/>
        </w:rPr>
        <w:t>analizele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recente</w:t>
      </w:r>
      <w:proofErr w:type="spellEnd"/>
      <w:r w:rsidRPr="00ED3677">
        <w:rPr>
          <w:sz w:val="24"/>
          <w:szCs w:val="24"/>
        </w:rPr>
        <w:t xml:space="preserve"> au </w:t>
      </w:r>
      <w:proofErr w:type="spellStart"/>
      <w:r w:rsidRPr="00ED3677">
        <w:rPr>
          <w:sz w:val="24"/>
          <w:szCs w:val="24"/>
        </w:rPr>
        <w:t>raportat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că</w:t>
      </w:r>
      <w:proofErr w:type="spellEnd"/>
      <w:r w:rsidRPr="00ED3677">
        <w:rPr>
          <w:sz w:val="24"/>
          <w:szCs w:val="24"/>
        </w:rPr>
        <w:t xml:space="preserve"> un </w:t>
      </w:r>
      <w:proofErr w:type="spellStart"/>
      <w:r w:rsidRPr="00ED3677">
        <w:rPr>
          <w:sz w:val="24"/>
          <w:szCs w:val="24"/>
        </w:rPr>
        <w:t>aport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mare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–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mult</w:t>
      </w:r>
      <w:proofErr w:type="spellEnd"/>
      <w:r w:rsidRPr="00ED3677">
        <w:rPr>
          <w:sz w:val="24"/>
          <w:szCs w:val="24"/>
        </w:rPr>
        <w:t xml:space="preserve"> de 0,8 g/kg </w:t>
      </w:r>
      <w:proofErr w:type="spellStart"/>
      <w:r w:rsidRPr="00ED3677">
        <w:rPr>
          <w:sz w:val="24"/>
          <w:szCs w:val="24"/>
        </w:rPr>
        <w:t>greutate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corporală</w:t>
      </w:r>
      <w:proofErr w:type="spellEnd"/>
      <w:r w:rsidRPr="00ED3677">
        <w:rPr>
          <w:sz w:val="24"/>
          <w:szCs w:val="24"/>
        </w:rPr>
        <w:t>/</w:t>
      </w:r>
      <w:proofErr w:type="spellStart"/>
      <w:r w:rsidRPr="00ED3677">
        <w:rPr>
          <w:sz w:val="24"/>
          <w:szCs w:val="24"/>
        </w:rPr>
        <w:t>zi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mare </w:t>
      </w:r>
      <w:proofErr w:type="spellStart"/>
      <w:r w:rsidRPr="00ED3677">
        <w:rPr>
          <w:sz w:val="24"/>
          <w:szCs w:val="24"/>
        </w:rPr>
        <w:t>decât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recomandările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dietetice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generale</w:t>
      </w:r>
      <w:proofErr w:type="spellEnd"/>
      <w:r w:rsidRPr="00ED3677">
        <w:rPr>
          <w:sz w:val="24"/>
          <w:szCs w:val="24"/>
        </w:rPr>
        <w:t xml:space="preserve"> –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asociat</w:t>
      </w:r>
      <w:proofErr w:type="spellEnd"/>
      <w:r w:rsidRPr="00ED3677">
        <w:rPr>
          <w:sz w:val="24"/>
          <w:szCs w:val="24"/>
        </w:rPr>
        <w:t xml:space="preserve"> cu un DMO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mare, </w:t>
      </w:r>
      <w:proofErr w:type="spellStart"/>
      <w:r w:rsidRPr="00ED3677">
        <w:rPr>
          <w:sz w:val="24"/>
          <w:szCs w:val="24"/>
        </w:rPr>
        <w:t>risc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redus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fractură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șold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rată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lentă</w:t>
      </w:r>
      <w:proofErr w:type="spellEnd"/>
      <w:r w:rsidRPr="00ED3677">
        <w:rPr>
          <w:sz w:val="24"/>
          <w:szCs w:val="24"/>
        </w:rPr>
        <w:t xml:space="preserve"> a </w:t>
      </w:r>
      <w:proofErr w:type="spellStart"/>
      <w:r w:rsidRPr="00ED3677">
        <w:rPr>
          <w:sz w:val="24"/>
          <w:szCs w:val="24"/>
        </w:rPr>
        <w:t>pierderii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. Este </w:t>
      </w:r>
      <w:proofErr w:type="spellStart"/>
      <w:r w:rsidRPr="00ED3677">
        <w:rPr>
          <w:sz w:val="24"/>
          <w:szCs w:val="24"/>
        </w:rPr>
        <w:t>deosebit</w:t>
      </w:r>
      <w:proofErr w:type="spellEnd"/>
      <w:r w:rsidRPr="00ED3677">
        <w:rPr>
          <w:sz w:val="24"/>
          <w:szCs w:val="24"/>
        </w:rPr>
        <w:t xml:space="preserve"> de important la </w:t>
      </w:r>
      <w:proofErr w:type="spellStart"/>
      <w:r w:rsidRPr="00ED3677">
        <w:rPr>
          <w:sz w:val="24"/>
          <w:szCs w:val="24"/>
        </w:rPr>
        <w:t>persoanele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vârstă</w:t>
      </w:r>
      <w:proofErr w:type="spellEnd"/>
      <w:r w:rsidRPr="00ED3677">
        <w:rPr>
          <w:sz w:val="24"/>
          <w:szCs w:val="24"/>
        </w:rPr>
        <w:t xml:space="preserve"> cu </w:t>
      </w:r>
      <w:proofErr w:type="spellStart"/>
      <w:r w:rsidRPr="00ED3677">
        <w:rPr>
          <w:sz w:val="24"/>
          <w:szCs w:val="24"/>
        </w:rPr>
        <w:t>osteoporoză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trebuie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</w:t>
      </w:r>
      <w:proofErr w:type="spellEnd"/>
      <w:r w:rsidRPr="00ED3677">
        <w:rPr>
          <w:sz w:val="24"/>
          <w:szCs w:val="24"/>
        </w:rPr>
        <w:t xml:space="preserve"> fie </w:t>
      </w:r>
      <w:proofErr w:type="spellStart"/>
      <w:r w:rsidRPr="00ED3677">
        <w:rPr>
          <w:sz w:val="24"/>
          <w:szCs w:val="24"/>
        </w:rPr>
        <w:t>întotdeauna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însoțită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aportul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alimentar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adecvat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calciu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</w:t>
      </w:r>
      <w:r w:rsidRPr="00ED3677">
        <w:rPr>
          <w:sz w:val="24"/>
          <w:szCs w:val="24"/>
        </w:rPr>
        <w:t xml:space="preserve">1]. </w:t>
      </w:r>
    </w:p>
    <w:p w14:paraId="313519E2" w14:textId="0838E447" w:rsidR="00ED3677" w:rsidRPr="00ED3677" w:rsidRDefault="00ED3677" w:rsidP="00ED3677">
      <w:pPr>
        <w:rPr>
          <w:sz w:val="24"/>
          <w:szCs w:val="24"/>
        </w:rPr>
      </w:pPr>
      <w:r w:rsidRPr="00ED3677">
        <w:rPr>
          <w:sz w:val="24"/>
          <w:szCs w:val="24"/>
        </w:rPr>
        <w:t xml:space="preserve">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important </w:t>
      </w:r>
      <w:proofErr w:type="spellStart"/>
      <w:r w:rsidRPr="00ED3677">
        <w:rPr>
          <w:sz w:val="24"/>
          <w:szCs w:val="24"/>
        </w:rPr>
        <w:t>să</w:t>
      </w:r>
      <w:proofErr w:type="spellEnd"/>
      <w:r w:rsidRPr="00ED3677">
        <w:rPr>
          <w:sz w:val="24"/>
          <w:szCs w:val="24"/>
        </w:rPr>
        <w:t xml:space="preserve"> se </w:t>
      </w:r>
      <w:proofErr w:type="spellStart"/>
      <w:r w:rsidRPr="00ED3677">
        <w:rPr>
          <w:sz w:val="24"/>
          <w:szCs w:val="24"/>
        </w:rPr>
        <w:t>ia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considerare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efectul</w:t>
      </w:r>
      <w:proofErr w:type="spellEnd"/>
      <w:r w:rsidRPr="00ED3677">
        <w:rPr>
          <w:sz w:val="24"/>
          <w:szCs w:val="24"/>
        </w:rPr>
        <w:t xml:space="preserve"> anabolic al </w:t>
      </w:r>
      <w:proofErr w:type="spellStart"/>
      <w:r w:rsidRPr="00ED3677">
        <w:rPr>
          <w:sz w:val="24"/>
          <w:szCs w:val="24"/>
        </w:rPr>
        <w:t>aportului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care, </w:t>
      </w:r>
      <w:proofErr w:type="spellStart"/>
      <w:r w:rsidRPr="00ED3677">
        <w:rPr>
          <w:sz w:val="24"/>
          <w:szCs w:val="24"/>
        </w:rPr>
        <w:t>împreună</w:t>
      </w:r>
      <w:proofErr w:type="spellEnd"/>
      <w:r w:rsidRPr="00ED3677">
        <w:rPr>
          <w:sz w:val="24"/>
          <w:szCs w:val="24"/>
        </w:rPr>
        <w:t xml:space="preserve"> cu </w:t>
      </w:r>
      <w:proofErr w:type="spellStart"/>
      <w:r w:rsidRPr="00ED3677">
        <w:rPr>
          <w:sz w:val="24"/>
          <w:szCs w:val="24"/>
        </w:rPr>
        <w:t>activitatea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fizică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un factor principal de </w:t>
      </w:r>
      <w:proofErr w:type="spellStart"/>
      <w:r w:rsidRPr="00ED3677">
        <w:rPr>
          <w:sz w:val="24"/>
          <w:szCs w:val="24"/>
        </w:rPr>
        <w:t>sinteză</w:t>
      </w:r>
      <w:proofErr w:type="spellEnd"/>
      <w:r w:rsidRPr="00ED3677">
        <w:rPr>
          <w:sz w:val="24"/>
          <w:szCs w:val="24"/>
        </w:rPr>
        <w:t xml:space="preserve"> a </w:t>
      </w:r>
      <w:proofErr w:type="spellStart"/>
      <w:r w:rsidRPr="00ED3677">
        <w:rPr>
          <w:sz w:val="24"/>
          <w:szCs w:val="24"/>
        </w:rPr>
        <w:t>proteinelor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musculare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Atunci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când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practica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exercitarea</w:t>
      </w:r>
      <w:proofErr w:type="spellEnd"/>
      <w:r w:rsidRPr="00ED3677">
        <w:rPr>
          <w:sz w:val="24"/>
          <w:szCs w:val="24"/>
        </w:rPr>
        <w:t xml:space="preserve">, masa </w:t>
      </w:r>
      <w:proofErr w:type="spellStart"/>
      <w:r w:rsidRPr="00ED3677">
        <w:rPr>
          <w:sz w:val="24"/>
          <w:szCs w:val="24"/>
        </w:rPr>
        <w:t>musculara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forta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îmbunătăți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combinația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aportul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adecvat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exercițiu</w:t>
      </w:r>
      <w:proofErr w:type="spellEnd"/>
      <w:r w:rsidRPr="00ED3677">
        <w:rPr>
          <w:sz w:val="24"/>
          <w:szCs w:val="24"/>
        </w:rPr>
        <w:t xml:space="preserve"> induce un grad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mare de </w:t>
      </w:r>
      <w:proofErr w:type="spellStart"/>
      <w:r w:rsidRPr="00ED3677">
        <w:rPr>
          <w:sz w:val="24"/>
          <w:szCs w:val="24"/>
        </w:rPr>
        <w:t>acreție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musculare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decât</w:t>
      </w:r>
      <w:proofErr w:type="spellEnd"/>
      <w:r w:rsidRPr="00ED3677">
        <w:rPr>
          <w:sz w:val="24"/>
          <w:szCs w:val="24"/>
        </w:rPr>
        <w:t xml:space="preserve"> fie de </w:t>
      </w:r>
      <w:proofErr w:type="spellStart"/>
      <w:r w:rsidRPr="00ED3677">
        <w:rPr>
          <w:sz w:val="24"/>
          <w:szCs w:val="24"/>
        </w:rPr>
        <w:t>intervenție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singur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același</w:t>
      </w:r>
      <w:proofErr w:type="spellEnd"/>
      <w:r w:rsidRPr="00ED3677">
        <w:rPr>
          <w:sz w:val="24"/>
          <w:szCs w:val="24"/>
        </w:rPr>
        <w:t xml:space="preserve"> mod, un </w:t>
      </w:r>
      <w:proofErr w:type="spellStart"/>
      <w:r w:rsidRPr="00ED3677">
        <w:rPr>
          <w:sz w:val="24"/>
          <w:szCs w:val="24"/>
        </w:rPr>
        <w:t>aport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echilibrat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dietetice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combinație</w:t>
      </w:r>
      <w:proofErr w:type="spellEnd"/>
      <w:r w:rsidRPr="00ED3677">
        <w:rPr>
          <w:sz w:val="24"/>
          <w:szCs w:val="24"/>
        </w:rPr>
        <w:t xml:space="preserve"> cu </w:t>
      </w:r>
      <w:proofErr w:type="spellStart"/>
      <w:r w:rsidRPr="00ED3677">
        <w:rPr>
          <w:sz w:val="24"/>
          <w:szCs w:val="24"/>
        </w:rPr>
        <w:t>exerciții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rezistență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un factor important care </w:t>
      </w:r>
      <w:proofErr w:type="spellStart"/>
      <w:r w:rsidRPr="00ED3677">
        <w:rPr>
          <w:sz w:val="24"/>
          <w:szCs w:val="24"/>
        </w:rPr>
        <w:t>contribuie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menținerea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rezistenței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>.</w:t>
      </w:r>
    </w:p>
    <w:p w14:paraId="1D614658" w14:textId="2D9BF5C6" w:rsidR="00ED3677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privește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nutrienții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necesari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bună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sănătate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osoasă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fructele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legumele</w:t>
      </w:r>
      <w:proofErr w:type="spellEnd"/>
      <w:r w:rsidRPr="00ED3677">
        <w:rPr>
          <w:sz w:val="24"/>
          <w:szCs w:val="24"/>
        </w:rPr>
        <w:t xml:space="preserve"> sunt </w:t>
      </w:r>
      <w:proofErr w:type="spellStart"/>
      <w:r w:rsidRPr="00ED3677">
        <w:rPr>
          <w:sz w:val="24"/>
          <w:szCs w:val="24"/>
        </w:rPr>
        <w:t>bogate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nutrienții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menționați</w:t>
      </w:r>
      <w:proofErr w:type="spellEnd"/>
      <w:r w:rsidRPr="00ED3677">
        <w:rPr>
          <w:sz w:val="24"/>
          <w:szCs w:val="24"/>
        </w:rPr>
        <w:t xml:space="preserve"> anterior, </w:t>
      </w:r>
      <w:proofErr w:type="spellStart"/>
      <w:r w:rsidRPr="00ED3677">
        <w:rPr>
          <w:sz w:val="24"/>
          <w:szCs w:val="24"/>
        </w:rPr>
        <w:t>ar</w:t>
      </w:r>
      <w:proofErr w:type="spellEnd"/>
      <w:r w:rsidRPr="00ED3677">
        <w:rPr>
          <w:sz w:val="24"/>
          <w:szCs w:val="24"/>
        </w:rPr>
        <w:t xml:space="preserve"> fi </w:t>
      </w:r>
      <w:proofErr w:type="spellStart"/>
      <w:r w:rsidRPr="00ED3677">
        <w:rPr>
          <w:sz w:val="24"/>
          <w:szCs w:val="24"/>
        </w:rPr>
        <w:t>potasiul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magneziul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C,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K, acid folic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carotenoide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22</w:t>
      </w:r>
      <w:r w:rsidRPr="00ED3677">
        <w:rPr>
          <w:sz w:val="24"/>
          <w:szCs w:val="24"/>
        </w:rPr>
        <w:t>].</w:t>
      </w:r>
    </w:p>
    <w:p w14:paraId="39CFF88B" w14:textId="10F98A2E" w:rsidR="00ED3677" w:rsidRPr="004E0AB4" w:rsidRDefault="00ED3677" w:rsidP="00ED3677">
      <w:pPr>
        <w:rPr>
          <w:b/>
          <w:bCs/>
          <w:sz w:val="24"/>
          <w:szCs w:val="24"/>
        </w:rPr>
      </w:pPr>
      <w:proofErr w:type="spellStart"/>
      <w:r w:rsidRPr="004E0AB4">
        <w:rPr>
          <w:b/>
          <w:bCs/>
          <w:sz w:val="24"/>
          <w:szCs w:val="24"/>
        </w:rPr>
        <w:t>Vitaminele</w:t>
      </w:r>
      <w:proofErr w:type="spellEnd"/>
      <w:r w:rsidRPr="004E0AB4">
        <w:rPr>
          <w:b/>
          <w:bCs/>
          <w:sz w:val="24"/>
          <w:szCs w:val="24"/>
        </w:rPr>
        <w:t xml:space="preserve"> K </w:t>
      </w:r>
      <w:proofErr w:type="spellStart"/>
      <w:r w:rsidRPr="004E0AB4">
        <w:rPr>
          <w:b/>
          <w:bCs/>
          <w:sz w:val="24"/>
          <w:szCs w:val="24"/>
        </w:rPr>
        <w:t>și</w:t>
      </w:r>
      <w:proofErr w:type="spellEnd"/>
      <w:r w:rsidRPr="004E0AB4">
        <w:rPr>
          <w:b/>
          <w:bCs/>
          <w:sz w:val="24"/>
          <w:szCs w:val="24"/>
        </w:rPr>
        <w:t xml:space="preserve"> C</w:t>
      </w:r>
    </w:p>
    <w:p w14:paraId="26ECB154" w14:textId="2AE02A26" w:rsidR="00ED3677" w:rsidRDefault="00ED3677" w:rsidP="00ED3677">
      <w:pPr>
        <w:rPr>
          <w:sz w:val="24"/>
          <w:szCs w:val="24"/>
        </w:rPr>
      </w:pPr>
      <w:proofErr w:type="spellStart"/>
      <w:r w:rsidRPr="00E04428">
        <w:rPr>
          <w:b/>
          <w:bCs/>
          <w:i/>
          <w:iCs/>
          <w:sz w:val="24"/>
          <w:szCs w:val="24"/>
        </w:rPr>
        <w:t>Vitamina</w:t>
      </w:r>
      <w:proofErr w:type="spellEnd"/>
      <w:r w:rsidRPr="00E04428">
        <w:rPr>
          <w:b/>
          <w:bCs/>
          <w:i/>
          <w:iCs/>
          <w:sz w:val="24"/>
          <w:szCs w:val="24"/>
        </w:rPr>
        <w:t xml:space="preserve"> K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implicată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formarea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matricei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timpul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mineralizării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Acesta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acționează</w:t>
      </w:r>
      <w:proofErr w:type="spellEnd"/>
      <w:r w:rsidRPr="00ED3677">
        <w:rPr>
          <w:sz w:val="24"/>
          <w:szCs w:val="24"/>
        </w:rPr>
        <w:t xml:space="preserve"> ca un cofactor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γ-</w:t>
      </w:r>
      <w:proofErr w:type="spellStart"/>
      <w:r w:rsidRPr="00ED3677">
        <w:rPr>
          <w:sz w:val="24"/>
          <w:szCs w:val="24"/>
        </w:rPr>
        <w:t>carboxilazei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microsomale</w:t>
      </w:r>
      <w:proofErr w:type="spellEnd"/>
      <w:r w:rsidRPr="00ED3677">
        <w:rPr>
          <w:sz w:val="24"/>
          <w:szCs w:val="24"/>
        </w:rPr>
        <w:t xml:space="preserve">, care </w:t>
      </w:r>
      <w:proofErr w:type="spellStart"/>
      <w:r w:rsidRPr="00ED3677">
        <w:rPr>
          <w:sz w:val="24"/>
          <w:szCs w:val="24"/>
        </w:rPr>
        <w:t>facilitează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conversia</w:t>
      </w:r>
      <w:proofErr w:type="spellEnd"/>
      <w:r w:rsidRPr="00ED3677">
        <w:rPr>
          <w:sz w:val="24"/>
          <w:szCs w:val="24"/>
        </w:rPr>
        <w:t xml:space="preserve"> post-</w:t>
      </w:r>
      <w:proofErr w:type="spellStart"/>
      <w:r w:rsidRPr="00ED3677">
        <w:rPr>
          <w:sz w:val="24"/>
          <w:szCs w:val="24"/>
        </w:rPr>
        <w:t>translațională</w:t>
      </w:r>
      <w:proofErr w:type="spellEnd"/>
      <w:r w:rsidRPr="00ED3677">
        <w:rPr>
          <w:sz w:val="24"/>
          <w:szCs w:val="24"/>
        </w:rPr>
        <w:t xml:space="preserve"> a </w:t>
      </w:r>
      <w:proofErr w:type="spellStart"/>
      <w:r w:rsidRPr="00ED3677">
        <w:rPr>
          <w:sz w:val="24"/>
          <w:szCs w:val="24"/>
        </w:rPr>
        <w:t>glutamylului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reziduuri</w:t>
      </w:r>
      <w:proofErr w:type="spellEnd"/>
      <w:r w:rsidRPr="00ED3677">
        <w:rPr>
          <w:sz w:val="24"/>
          <w:szCs w:val="24"/>
        </w:rPr>
        <w:t xml:space="preserve"> de γ-</w:t>
      </w:r>
      <w:proofErr w:type="spellStart"/>
      <w:r w:rsidRPr="00ED3677">
        <w:rPr>
          <w:sz w:val="24"/>
          <w:szCs w:val="24"/>
        </w:rPr>
        <w:t>carboxiglutamil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osteocalcină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influențează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alte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proteine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dependente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K.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sa</w:t>
      </w:r>
      <w:proofErr w:type="spellEnd"/>
      <w:r w:rsidRPr="00ED3677">
        <w:rPr>
          <w:sz w:val="24"/>
          <w:szCs w:val="24"/>
        </w:rPr>
        <w:t xml:space="preserve"> γ-</w:t>
      </w:r>
      <w:proofErr w:type="spellStart"/>
      <w:r w:rsidRPr="00ED3677">
        <w:rPr>
          <w:sz w:val="24"/>
          <w:szCs w:val="24"/>
        </w:rPr>
        <w:t>carboxilat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osteocalcina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proteină</w:t>
      </w:r>
      <w:proofErr w:type="spellEnd"/>
      <w:r w:rsidRPr="00ED3677">
        <w:rPr>
          <w:sz w:val="24"/>
          <w:szCs w:val="24"/>
        </w:rPr>
        <w:t xml:space="preserve"> care </w:t>
      </w:r>
      <w:proofErr w:type="spellStart"/>
      <w:r w:rsidRPr="00ED3677">
        <w:rPr>
          <w:sz w:val="24"/>
          <w:szCs w:val="24"/>
        </w:rPr>
        <w:t>leagă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calciul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oase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facilitând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procesul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mineralizare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K </w:t>
      </w:r>
      <w:proofErr w:type="spellStart"/>
      <w:r w:rsidRPr="00ED3677">
        <w:rPr>
          <w:sz w:val="24"/>
          <w:szCs w:val="24"/>
        </w:rPr>
        <w:t>cuprinde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familie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forme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moleculare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diferite</w:t>
      </w:r>
      <w:proofErr w:type="spellEnd"/>
      <w:r w:rsidRPr="00ED3677">
        <w:rPr>
          <w:sz w:val="24"/>
          <w:szCs w:val="24"/>
        </w:rPr>
        <w:t xml:space="preserve">: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K1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o </w:t>
      </w:r>
      <w:proofErr w:type="spellStart"/>
      <w:r w:rsidRPr="00ED3677">
        <w:rPr>
          <w:sz w:val="24"/>
          <w:szCs w:val="24"/>
        </w:rPr>
        <w:t>singură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formă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sintetizată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plante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timp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grupul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vitamine</w:t>
      </w:r>
      <w:proofErr w:type="spellEnd"/>
      <w:r w:rsidRPr="00ED3677">
        <w:rPr>
          <w:sz w:val="24"/>
          <w:szCs w:val="24"/>
        </w:rPr>
        <w:t xml:space="preserve"> K2 </w:t>
      </w:r>
      <w:proofErr w:type="spellStart"/>
      <w:r w:rsidRPr="00ED3677">
        <w:rPr>
          <w:sz w:val="24"/>
          <w:szCs w:val="24"/>
        </w:rPr>
        <w:t>cuprinde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multe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forme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principal </w:t>
      </w:r>
      <w:proofErr w:type="spellStart"/>
      <w:r w:rsidRPr="00ED3677">
        <w:rPr>
          <w:sz w:val="24"/>
          <w:szCs w:val="24"/>
        </w:rPr>
        <w:t>sintetizate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bacterii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K1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tipul</w:t>
      </w:r>
      <w:proofErr w:type="spellEnd"/>
      <w:r w:rsidRPr="00ED3677">
        <w:rPr>
          <w:sz w:val="24"/>
          <w:szCs w:val="24"/>
        </w:rPr>
        <w:t xml:space="preserve"> major </w:t>
      </w:r>
      <w:proofErr w:type="spellStart"/>
      <w:r w:rsidRPr="00ED3677">
        <w:rPr>
          <w:sz w:val="24"/>
          <w:szCs w:val="24"/>
        </w:rPr>
        <w:t>găsit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dietele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umane</w:t>
      </w:r>
      <w:proofErr w:type="spellEnd"/>
      <w:r w:rsidRPr="00ED3677">
        <w:rPr>
          <w:sz w:val="24"/>
          <w:szCs w:val="24"/>
        </w:rPr>
        <w:t xml:space="preserve">. O </w:t>
      </w:r>
      <w:proofErr w:type="spellStart"/>
      <w:r w:rsidRPr="00ED3677">
        <w:rPr>
          <w:sz w:val="24"/>
          <w:szCs w:val="24"/>
        </w:rPr>
        <w:t>caracteristică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specială</w:t>
      </w:r>
      <w:proofErr w:type="spellEnd"/>
      <w:r w:rsidRPr="00ED3677">
        <w:rPr>
          <w:sz w:val="24"/>
          <w:szCs w:val="24"/>
        </w:rPr>
        <w:t xml:space="preserve"> a </w:t>
      </w:r>
      <w:proofErr w:type="spellStart"/>
      <w:r w:rsidRPr="00ED3677">
        <w:rPr>
          <w:sz w:val="24"/>
          <w:szCs w:val="24"/>
        </w:rPr>
        <w:t>brânzei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prezența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vitaminei</w:t>
      </w:r>
      <w:proofErr w:type="spellEnd"/>
      <w:r w:rsidRPr="00ED3677">
        <w:rPr>
          <w:sz w:val="24"/>
          <w:szCs w:val="24"/>
        </w:rPr>
        <w:t xml:space="preserve"> K2. </w:t>
      </w:r>
    </w:p>
    <w:p w14:paraId="30BAC249" w14:textId="0B1BB6B4" w:rsidR="00E04428" w:rsidRDefault="00ED3677" w:rsidP="00ED3677">
      <w:pPr>
        <w:rPr>
          <w:sz w:val="24"/>
          <w:szCs w:val="24"/>
        </w:rPr>
      </w:pPr>
      <w:proofErr w:type="spellStart"/>
      <w:r w:rsidRPr="00E04428">
        <w:rPr>
          <w:b/>
          <w:bCs/>
          <w:i/>
          <w:iCs/>
          <w:sz w:val="24"/>
          <w:szCs w:val="24"/>
        </w:rPr>
        <w:t>Vitamina</w:t>
      </w:r>
      <w:proofErr w:type="spellEnd"/>
      <w:r w:rsidRPr="00E04428">
        <w:rPr>
          <w:b/>
          <w:bCs/>
          <w:i/>
          <w:iCs/>
          <w:sz w:val="24"/>
          <w:szCs w:val="24"/>
        </w:rPr>
        <w:t xml:space="preserve"> C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îmbunătăți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sănătatea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oaselor</w:t>
      </w:r>
      <w:proofErr w:type="spellEnd"/>
      <w:r w:rsidRPr="00ED3677">
        <w:rPr>
          <w:sz w:val="24"/>
          <w:szCs w:val="24"/>
        </w:rPr>
        <w:t xml:space="preserve"> din </w:t>
      </w:r>
      <w:proofErr w:type="spellStart"/>
      <w:r w:rsidRPr="00ED3677">
        <w:rPr>
          <w:sz w:val="24"/>
          <w:szCs w:val="24"/>
        </w:rPr>
        <w:t>cauza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proprietăților</w:t>
      </w:r>
      <w:proofErr w:type="spellEnd"/>
      <w:r w:rsidRPr="00ED3677">
        <w:rPr>
          <w:sz w:val="24"/>
          <w:szCs w:val="24"/>
        </w:rPr>
        <w:t xml:space="preserve"> sale </w:t>
      </w:r>
      <w:proofErr w:type="spellStart"/>
      <w:r w:rsidRPr="00ED3677">
        <w:rPr>
          <w:sz w:val="24"/>
          <w:szCs w:val="24"/>
        </w:rPr>
        <w:t>antioxidante</w:t>
      </w:r>
      <w:proofErr w:type="spellEnd"/>
      <w:r w:rsidRPr="00ED3677">
        <w:rPr>
          <w:sz w:val="24"/>
          <w:szCs w:val="24"/>
        </w:rPr>
        <w:t xml:space="preserve">. Este </w:t>
      </w:r>
      <w:proofErr w:type="spellStart"/>
      <w:r w:rsidRPr="00ED3677">
        <w:rPr>
          <w:sz w:val="24"/>
          <w:szCs w:val="24"/>
        </w:rPr>
        <w:t>capabil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suprime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activitatea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osteoclastului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23</w:t>
      </w:r>
      <w:r w:rsidRPr="00ED3677">
        <w:rPr>
          <w:sz w:val="24"/>
          <w:szCs w:val="24"/>
        </w:rPr>
        <w:t xml:space="preserve">]. </w:t>
      </w:r>
    </w:p>
    <w:p w14:paraId="632C5F57" w14:textId="270B269E" w:rsidR="00E04428" w:rsidRDefault="00ED3677" w:rsidP="00ED3677">
      <w:pPr>
        <w:rPr>
          <w:sz w:val="24"/>
          <w:szCs w:val="24"/>
        </w:rPr>
      </w:pPr>
      <w:r w:rsidRPr="00ED3677">
        <w:rPr>
          <w:sz w:val="24"/>
          <w:szCs w:val="24"/>
        </w:rPr>
        <w:t xml:space="preserve">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acționează</w:t>
      </w:r>
      <w:proofErr w:type="spellEnd"/>
      <w:r w:rsidRPr="00ED3677">
        <w:rPr>
          <w:sz w:val="24"/>
          <w:szCs w:val="24"/>
        </w:rPr>
        <w:t xml:space="preserve"> ca un cofactor </w:t>
      </w:r>
      <w:proofErr w:type="spellStart"/>
      <w:r w:rsidRPr="00ED3677">
        <w:rPr>
          <w:sz w:val="24"/>
          <w:szCs w:val="24"/>
        </w:rPr>
        <w:t>pentru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diferențierea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osteoblast</w:t>
      </w:r>
      <w:r w:rsidR="00E04428">
        <w:rPr>
          <w:sz w:val="24"/>
          <w:szCs w:val="24"/>
        </w:rPr>
        <w:t>elor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participă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formarea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colagen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C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un marker al </w:t>
      </w:r>
      <w:proofErr w:type="spellStart"/>
      <w:r w:rsidRPr="00ED3677">
        <w:rPr>
          <w:sz w:val="24"/>
          <w:szCs w:val="24"/>
        </w:rPr>
        <w:t>unui</w:t>
      </w:r>
      <w:proofErr w:type="spellEnd"/>
      <w:r w:rsidRPr="00ED3677">
        <w:rPr>
          <w:sz w:val="24"/>
          <w:szCs w:val="24"/>
        </w:rPr>
        <w:t xml:space="preserve"> model </w:t>
      </w:r>
      <w:proofErr w:type="spellStart"/>
      <w:r w:rsidRPr="00ED3677">
        <w:rPr>
          <w:sz w:val="24"/>
          <w:szCs w:val="24"/>
        </w:rPr>
        <w:t>alimentar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sănătos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bogat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fructe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legume. Un </w:t>
      </w:r>
      <w:proofErr w:type="spellStart"/>
      <w:r w:rsidRPr="00ED3677">
        <w:rPr>
          <w:sz w:val="24"/>
          <w:szCs w:val="24"/>
        </w:rPr>
        <w:t>aport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alimentar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mare de </w:t>
      </w:r>
      <w:proofErr w:type="spellStart"/>
      <w:r w:rsidRPr="00ED3677">
        <w:rPr>
          <w:sz w:val="24"/>
          <w:szCs w:val="24"/>
        </w:rPr>
        <w:t>vitamina</w:t>
      </w:r>
      <w:proofErr w:type="spellEnd"/>
      <w:r w:rsidRPr="00ED3677">
        <w:rPr>
          <w:sz w:val="24"/>
          <w:szCs w:val="24"/>
        </w:rPr>
        <w:t xml:space="preserve"> C a </w:t>
      </w:r>
      <w:proofErr w:type="spellStart"/>
      <w:r w:rsidRPr="00ED3677">
        <w:rPr>
          <w:sz w:val="24"/>
          <w:szCs w:val="24"/>
        </w:rPr>
        <w:t>fost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corelat</w:t>
      </w:r>
      <w:proofErr w:type="spellEnd"/>
      <w:r w:rsidRPr="00ED3677">
        <w:rPr>
          <w:sz w:val="24"/>
          <w:szCs w:val="24"/>
        </w:rPr>
        <w:t xml:space="preserve"> cu un </w:t>
      </w:r>
      <w:proofErr w:type="spellStart"/>
      <w:r w:rsidRPr="00ED3677">
        <w:rPr>
          <w:sz w:val="24"/>
          <w:szCs w:val="24"/>
        </w:rPr>
        <w:t>risc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mic de </w:t>
      </w:r>
      <w:proofErr w:type="spellStart"/>
      <w:r w:rsidRPr="00ED3677">
        <w:rPr>
          <w:sz w:val="24"/>
          <w:szCs w:val="24"/>
        </w:rPr>
        <w:t>fractură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șold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osteoporoză</w:t>
      </w:r>
      <w:proofErr w:type="spellEnd"/>
      <w:r w:rsidRPr="00ED3677">
        <w:rPr>
          <w:sz w:val="24"/>
          <w:szCs w:val="24"/>
        </w:rPr>
        <w:t xml:space="preserve">, precum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mare DMO, </w:t>
      </w:r>
      <w:proofErr w:type="spellStart"/>
      <w:r w:rsidRPr="00ED3677">
        <w:rPr>
          <w:sz w:val="24"/>
          <w:szCs w:val="24"/>
        </w:rPr>
        <w:t>atât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nivelul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gâtului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femural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cât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nivelul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coloanei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vertebrale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lombare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24</w:t>
      </w:r>
      <w:r w:rsidRPr="00ED3677">
        <w:rPr>
          <w:sz w:val="24"/>
          <w:szCs w:val="24"/>
        </w:rPr>
        <w:t>]</w:t>
      </w:r>
    </w:p>
    <w:p w14:paraId="63A1300F" w14:textId="1E95E975" w:rsidR="00E04428" w:rsidRDefault="00E04428" w:rsidP="00ED3677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ED3677" w:rsidRPr="00ED3677">
        <w:rPr>
          <w:sz w:val="24"/>
          <w:szCs w:val="24"/>
        </w:rPr>
        <w:t xml:space="preserve"> meta-</w:t>
      </w:r>
      <w:proofErr w:type="spellStart"/>
      <w:r w:rsidR="00ED3677" w:rsidRPr="00ED3677">
        <w:rPr>
          <w:sz w:val="24"/>
          <w:szCs w:val="24"/>
        </w:rPr>
        <w:t>analiză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mai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recentă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consolidează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puternic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ideea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creșterea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aportului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alimentar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vitamina</w:t>
      </w:r>
      <w:proofErr w:type="spellEnd"/>
      <w:r w:rsidR="00ED3677" w:rsidRPr="00ED3677">
        <w:rPr>
          <w:sz w:val="24"/>
          <w:szCs w:val="24"/>
        </w:rPr>
        <w:t xml:space="preserve"> C </w:t>
      </w:r>
      <w:proofErr w:type="spellStart"/>
      <w:r w:rsidR="00ED3677" w:rsidRPr="00ED3677">
        <w:rPr>
          <w:sz w:val="24"/>
          <w:szCs w:val="24"/>
        </w:rPr>
        <w:t>ar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putea</w:t>
      </w:r>
      <w:proofErr w:type="spellEnd"/>
      <w:r w:rsidR="00ED3677" w:rsidRPr="00ED3677">
        <w:rPr>
          <w:sz w:val="24"/>
          <w:szCs w:val="24"/>
        </w:rPr>
        <w:t xml:space="preserve"> reduce </w:t>
      </w:r>
      <w:proofErr w:type="spellStart"/>
      <w:r w:rsidR="00ED3677" w:rsidRPr="00ED3677">
        <w:rPr>
          <w:sz w:val="24"/>
          <w:szCs w:val="24"/>
        </w:rPr>
        <w:t>riscul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fracturi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șold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atât</w:t>
      </w:r>
      <w:proofErr w:type="spellEnd"/>
      <w:r w:rsidR="00ED3677" w:rsidRPr="00ED3677">
        <w:rPr>
          <w:sz w:val="24"/>
          <w:szCs w:val="24"/>
        </w:rPr>
        <w:t xml:space="preserve"> la </w:t>
      </w:r>
      <w:proofErr w:type="spellStart"/>
      <w:r w:rsidR="00ED3677" w:rsidRPr="00ED3677">
        <w:rPr>
          <w:sz w:val="24"/>
          <w:szCs w:val="24"/>
        </w:rPr>
        <w:t>bărbați</w:t>
      </w:r>
      <w:proofErr w:type="spellEnd"/>
      <w:r w:rsidR="00ED3677" w:rsidRPr="00ED3677">
        <w:rPr>
          <w:sz w:val="24"/>
          <w:szCs w:val="24"/>
        </w:rPr>
        <w:t xml:space="preserve">, </w:t>
      </w:r>
      <w:proofErr w:type="spellStart"/>
      <w:r w:rsidR="00ED3677" w:rsidRPr="00ED3677">
        <w:rPr>
          <w:sz w:val="24"/>
          <w:szCs w:val="24"/>
        </w:rPr>
        <w:t>cât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și</w:t>
      </w:r>
      <w:proofErr w:type="spellEnd"/>
      <w:r w:rsidR="00ED3677" w:rsidRPr="00ED3677">
        <w:rPr>
          <w:sz w:val="24"/>
          <w:szCs w:val="24"/>
        </w:rPr>
        <w:t xml:space="preserve"> la </w:t>
      </w:r>
      <w:proofErr w:type="spellStart"/>
      <w:r w:rsidR="00ED3677" w:rsidRPr="00ED3677">
        <w:rPr>
          <w:sz w:val="24"/>
          <w:szCs w:val="24"/>
        </w:rPr>
        <w:t>femei</w:t>
      </w:r>
      <w:proofErr w:type="spellEnd"/>
      <w:r w:rsidR="00ED3677"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25</w:t>
      </w:r>
      <w:r w:rsidR="00ED3677" w:rsidRPr="00ED3677">
        <w:rPr>
          <w:sz w:val="24"/>
          <w:szCs w:val="24"/>
        </w:rPr>
        <w:t xml:space="preserve">]. </w:t>
      </w:r>
    </w:p>
    <w:p w14:paraId="26D5BC3E" w14:textId="549AE12C" w:rsidR="00ED3677" w:rsidRPr="00ED3677" w:rsidRDefault="00E04428" w:rsidP="00ED3677">
      <w:pPr>
        <w:rPr>
          <w:sz w:val="24"/>
          <w:szCs w:val="24"/>
        </w:rPr>
      </w:pPr>
      <w:r>
        <w:rPr>
          <w:color w:val="000000"/>
          <w:shd w:val="clear" w:color="auto" w:fill="FFFFFF"/>
        </w:rPr>
        <w:t> </w:t>
      </w:r>
      <w:proofErr w:type="spellStart"/>
      <w:r w:rsidR="00ED3677" w:rsidRPr="00ED3677">
        <w:rPr>
          <w:sz w:val="24"/>
          <w:szCs w:val="24"/>
        </w:rPr>
        <w:t>Deși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aceste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beneficii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osoase</w:t>
      </w:r>
      <w:proofErr w:type="spellEnd"/>
      <w:r w:rsidR="00ED3677" w:rsidRPr="00ED3677">
        <w:rPr>
          <w:sz w:val="24"/>
          <w:szCs w:val="24"/>
        </w:rPr>
        <w:t xml:space="preserve"> sunt </w:t>
      </w:r>
      <w:proofErr w:type="spellStart"/>
      <w:r w:rsidR="00ED3677" w:rsidRPr="00ED3677">
        <w:rPr>
          <w:sz w:val="24"/>
          <w:szCs w:val="24"/>
        </w:rPr>
        <w:t>remarcabile</w:t>
      </w:r>
      <w:proofErr w:type="spellEnd"/>
      <w:r w:rsidR="00ED3677" w:rsidRPr="00ED3677">
        <w:rPr>
          <w:sz w:val="24"/>
          <w:szCs w:val="24"/>
        </w:rPr>
        <w:t xml:space="preserve">, </w:t>
      </w:r>
      <w:proofErr w:type="spellStart"/>
      <w:r w:rsidR="00ED3677" w:rsidRPr="00ED3677">
        <w:rPr>
          <w:sz w:val="24"/>
          <w:szCs w:val="24"/>
        </w:rPr>
        <w:t>există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puține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informații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în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orientările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practicii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clinice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în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ceea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privește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recomandările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aportul</w:t>
      </w:r>
      <w:proofErr w:type="spellEnd"/>
      <w:r w:rsidR="00ED3677" w:rsidRPr="00ED3677">
        <w:rPr>
          <w:sz w:val="24"/>
          <w:szCs w:val="24"/>
        </w:rPr>
        <w:t xml:space="preserve"> de </w:t>
      </w:r>
      <w:proofErr w:type="spellStart"/>
      <w:r w:rsidR="00ED3677" w:rsidRPr="00ED3677">
        <w:rPr>
          <w:sz w:val="24"/>
          <w:szCs w:val="24"/>
        </w:rPr>
        <w:t>vitamina</w:t>
      </w:r>
      <w:proofErr w:type="spellEnd"/>
      <w:r w:rsidR="00ED3677" w:rsidRPr="00ED3677">
        <w:rPr>
          <w:sz w:val="24"/>
          <w:szCs w:val="24"/>
        </w:rPr>
        <w:t xml:space="preserve"> C, </w:t>
      </w:r>
      <w:proofErr w:type="spellStart"/>
      <w:r w:rsidR="00ED3677" w:rsidRPr="00ED3677">
        <w:rPr>
          <w:sz w:val="24"/>
          <w:szCs w:val="24"/>
        </w:rPr>
        <w:t>iar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acest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lucru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ar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trebui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să</w:t>
      </w:r>
      <w:proofErr w:type="spellEnd"/>
      <w:r w:rsidR="00ED3677" w:rsidRPr="00ED3677">
        <w:rPr>
          <w:sz w:val="24"/>
          <w:szCs w:val="24"/>
        </w:rPr>
        <w:t xml:space="preserve"> fie </w:t>
      </w:r>
      <w:proofErr w:type="spellStart"/>
      <w:r w:rsidR="00ED3677" w:rsidRPr="00ED3677">
        <w:rPr>
          <w:sz w:val="24"/>
          <w:szCs w:val="24"/>
        </w:rPr>
        <w:t>luate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în</w:t>
      </w:r>
      <w:proofErr w:type="spellEnd"/>
      <w:r w:rsidR="00ED3677" w:rsidRPr="00ED3677">
        <w:rPr>
          <w:sz w:val="24"/>
          <w:szCs w:val="24"/>
        </w:rPr>
        <w:t xml:space="preserve"> </w:t>
      </w:r>
      <w:proofErr w:type="spellStart"/>
      <w:r w:rsidR="00ED3677" w:rsidRPr="00ED3677">
        <w:rPr>
          <w:sz w:val="24"/>
          <w:szCs w:val="24"/>
        </w:rPr>
        <w:t>considerare</w:t>
      </w:r>
      <w:proofErr w:type="spellEnd"/>
      <w:r w:rsidR="00ED3677" w:rsidRPr="00ED3677">
        <w:rPr>
          <w:sz w:val="24"/>
          <w:szCs w:val="24"/>
        </w:rPr>
        <w:t>.</w:t>
      </w:r>
    </w:p>
    <w:p w14:paraId="192FF154" w14:textId="54BD25D5" w:rsidR="00ED3677" w:rsidRPr="004E0AB4" w:rsidRDefault="00ED3677" w:rsidP="00ED3677">
      <w:pPr>
        <w:rPr>
          <w:b/>
          <w:bCs/>
          <w:sz w:val="24"/>
          <w:szCs w:val="24"/>
        </w:rPr>
      </w:pPr>
      <w:r w:rsidRPr="004E0AB4">
        <w:rPr>
          <w:b/>
          <w:bCs/>
          <w:sz w:val="24"/>
          <w:szCs w:val="24"/>
        </w:rPr>
        <w:t xml:space="preserve">Omega-3 </w:t>
      </w:r>
      <w:proofErr w:type="spellStart"/>
      <w:r w:rsidRPr="004E0AB4">
        <w:rPr>
          <w:b/>
          <w:bCs/>
          <w:sz w:val="24"/>
          <w:szCs w:val="24"/>
        </w:rPr>
        <w:t>Acizi</w:t>
      </w:r>
      <w:proofErr w:type="spellEnd"/>
      <w:r w:rsidRPr="004E0AB4">
        <w:rPr>
          <w:b/>
          <w:bCs/>
          <w:sz w:val="24"/>
          <w:szCs w:val="24"/>
        </w:rPr>
        <w:t xml:space="preserve"> </w:t>
      </w:r>
      <w:proofErr w:type="spellStart"/>
      <w:r w:rsidRPr="004E0AB4">
        <w:rPr>
          <w:b/>
          <w:bCs/>
          <w:sz w:val="24"/>
          <w:szCs w:val="24"/>
        </w:rPr>
        <w:t>grași</w:t>
      </w:r>
      <w:proofErr w:type="spellEnd"/>
      <w:r w:rsidRPr="004E0AB4">
        <w:rPr>
          <w:b/>
          <w:bCs/>
          <w:sz w:val="24"/>
          <w:szCs w:val="24"/>
        </w:rPr>
        <w:t xml:space="preserve"> </w:t>
      </w:r>
      <w:proofErr w:type="spellStart"/>
      <w:r w:rsidRPr="004E0AB4">
        <w:rPr>
          <w:b/>
          <w:bCs/>
          <w:sz w:val="24"/>
          <w:szCs w:val="24"/>
        </w:rPr>
        <w:t>polinesaturați</w:t>
      </w:r>
      <w:proofErr w:type="spellEnd"/>
      <w:r w:rsidRPr="004E0AB4">
        <w:rPr>
          <w:b/>
          <w:bCs/>
          <w:sz w:val="24"/>
          <w:szCs w:val="24"/>
        </w:rPr>
        <w:t xml:space="preserve"> </w:t>
      </w:r>
    </w:p>
    <w:p w14:paraId="148E2477" w14:textId="29E36894" w:rsidR="009B46BF" w:rsidRPr="009B46BF" w:rsidRDefault="00ED3677" w:rsidP="00ED3677">
      <w:pPr>
        <w:rPr>
          <w:color w:val="00B050"/>
          <w:sz w:val="24"/>
          <w:szCs w:val="24"/>
        </w:rPr>
      </w:pPr>
      <w:proofErr w:type="spellStart"/>
      <w:r w:rsidRPr="00ED3677">
        <w:rPr>
          <w:sz w:val="24"/>
          <w:szCs w:val="24"/>
        </w:rPr>
        <w:t>Există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dovezi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contradictorii</w:t>
      </w:r>
      <w:proofErr w:type="spellEnd"/>
      <w:r w:rsidRPr="00ED3677">
        <w:rPr>
          <w:sz w:val="24"/>
          <w:szCs w:val="24"/>
        </w:rPr>
        <w:t xml:space="preserve"> cu </w:t>
      </w:r>
      <w:proofErr w:type="spellStart"/>
      <w:r w:rsidRPr="00ED3677">
        <w:rPr>
          <w:sz w:val="24"/>
          <w:szCs w:val="24"/>
        </w:rPr>
        <w:t>privire</w:t>
      </w:r>
      <w:proofErr w:type="spellEnd"/>
      <w:r w:rsidRPr="00ED3677">
        <w:rPr>
          <w:sz w:val="24"/>
          <w:szCs w:val="24"/>
        </w:rPr>
        <w:t xml:space="preserve"> la </w:t>
      </w:r>
      <w:proofErr w:type="spellStart"/>
      <w:r w:rsidRPr="00ED3677">
        <w:rPr>
          <w:sz w:val="24"/>
          <w:szCs w:val="24"/>
        </w:rPr>
        <w:t>efectele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acizilor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grași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polinesaturați</w:t>
      </w:r>
      <w:proofErr w:type="spellEnd"/>
      <w:r w:rsidRPr="00ED3677">
        <w:rPr>
          <w:sz w:val="24"/>
          <w:szCs w:val="24"/>
        </w:rPr>
        <w:t xml:space="preserve"> omega-3 (PUFA) </w:t>
      </w:r>
      <w:proofErr w:type="spellStart"/>
      <w:r w:rsidRPr="00ED3677">
        <w:rPr>
          <w:sz w:val="24"/>
          <w:szCs w:val="24"/>
        </w:rPr>
        <w:t>asupra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metabolismului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osos</w:t>
      </w:r>
      <w:proofErr w:type="spellEnd"/>
      <w:r w:rsidRPr="00ED3677">
        <w:rPr>
          <w:sz w:val="24"/>
          <w:szCs w:val="24"/>
        </w:rPr>
        <w:t xml:space="preserve">. </w:t>
      </w:r>
      <w:proofErr w:type="spellStart"/>
      <w:r w:rsidRPr="00ED3677">
        <w:rPr>
          <w:sz w:val="24"/>
          <w:szCs w:val="24"/>
        </w:rPr>
        <w:t>Consumul</w:t>
      </w:r>
      <w:proofErr w:type="spellEnd"/>
      <w:r w:rsidRPr="00ED3677">
        <w:rPr>
          <w:sz w:val="24"/>
          <w:szCs w:val="24"/>
        </w:rPr>
        <w:t xml:space="preserve"> de acid </w:t>
      </w:r>
      <w:proofErr w:type="spellStart"/>
      <w:r w:rsidRPr="00ED3677">
        <w:rPr>
          <w:sz w:val="24"/>
          <w:szCs w:val="24"/>
        </w:rPr>
        <w:t>eicosapentaenoic</w:t>
      </w:r>
      <w:proofErr w:type="spellEnd"/>
      <w:r w:rsidRPr="00ED3677">
        <w:rPr>
          <w:sz w:val="24"/>
          <w:szCs w:val="24"/>
        </w:rPr>
        <w:t xml:space="preserve"> (EPA)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acid docosahexaenoic (DHA) </w:t>
      </w:r>
      <w:proofErr w:type="spellStart"/>
      <w:r w:rsidRPr="00ED3677">
        <w:rPr>
          <w:sz w:val="24"/>
          <w:szCs w:val="24"/>
        </w:rPr>
        <w:t>poate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influența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creșterea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remodelarea</w:t>
      </w:r>
      <w:proofErr w:type="spellEnd"/>
      <w:r w:rsidRPr="00ED3677">
        <w:rPr>
          <w:sz w:val="24"/>
          <w:szCs w:val="24"/>
        </w:rPr>
        <w:t xml:space="preserve"> la om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inhibarea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resorbției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stimularea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formării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osoase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26</w:t>
      </w:r>
      <w:r w:rsidRPr="00ED3677">
        <w:rPr>
          <w:sz w:val="24"/>
          <w:szCs w:val="24"/>
        </w:rPr>
        <w:t>].</w:t>
      </w:r>
      <w:r w:rsidR="009B46BF" w:rsidRPr="009B46BF">
        <w:rPr>
          <w:color w:val="000000"/>
          <w:shd w:val="clear" w:color="auto" w:fill="FFFFFF"/>
        </w:rPr>
        <w:t xml:space="preserve"> </w:t>
      </w:r>
    </w:p>
    <w:p w14:paraId="6DC9C342" w14:textId="2403682C" w:rsidR="009B46BF" w:rsidRDefault="00ED3677" w:rsidP="00ED3677">
      <w:pPr>
        <w:rPr>
          <w:sz w:val="24"/>
          <w:szCs w:val="24"/>
        </w:rPr>
      </w:pPr>
      <w:proofErr w:type="spellStart"/>
      <w:r w:rsidRPr="00ED3677">
        <w:rPr>
          <w:sz w:val="24"/>
          <w:szCs w:val="24"/>
        </w:rPr>
        <w:t>Peștele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fructele</w:t>
      </w:r>
      <w:proofErr w:type="spellEnd"/>
      <w:r w:rsidRPr="00ED3677">
        <w:rPr>
          <w:sz w:val="24"/>
          <w:szCs w:val="24"/>
        </w:rPr>
        <w:t xml:space="preserve"> de mare sunt </w:t>
      </w:r>
      <w:proofErr w:type="spellStart"/>
      <w:r w:rsidRPr="00ED3677">
        <w:rPr>
          <w:sz w:val="24"/>
          <w:szCs w:val="24"/>
        </w:rPr>
        <w:t>bogate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PUFA,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special n–3 FA, </w:t>
      </w:r>
      <w:proofErr w:type="spellStart"/>
      <w:r w:rsidRPr="00ED3677">
        <w:rPr>
          <w:sz w:val="24"/>
          <w:szCs w:val="24"/>
        </w:rPr>
        <w:t>despre</w:t>
      </w:r>
      <w:proofErr w:type="spellEnd"/>
      <w:r w:rsidRPr="00ED3677">
        <w:rPr>
          <w:sz w:val="24"/>
          <w:szCs w:val="24"/>
        </w:rPr>
        <w:t xml:space="preserve"> care se </w:t>
      </w:r>
      <w:proofErr w:type="spellStart"/>
      <w:r w:rsidRPr="00ED3677">
        <w:rPr>
          <w:sz w:val="24"/>
          <w:szCs w:val="24"/>
        </w:rPr>
        <w:t>știe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că</w:t>
      </w:r>
      <w:proofErr w:type="spellEnd"/>
      <w:r w:rsidRPr="00ED3677">
        <w:rPr>
          <w:sz w:val="24"/>
          <w:szCs w:val="24"/>
        </w:rPr>
        <w:t xml:space="preserve"> au un </w:t>
      </w:r>
      <w:proofErr w:type="spellStart"/>
      <w:r w:rsidRPr="00ED3677">
        <w:rPr>
          <w:sz w:val="24"/>
          <w:szCs w:val="24"/>
        </w:rPr>
        <w:t>efect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antiinflamator</w:t>
      </w:r>
      <w:proofErr w:type="spellEnd"/>
      <w:r w:rsidRPr="00ED3677">
        <w:rPr>
          <w:sz w:val="24"/>
          <w:szCs w:val="24"/>
        </w:rPr>
        <w:t xml:space="preserve"> care </w:t>
      </w:r>
      <w:proofErr w:type="spellStart"/>
      <w:r w:rsidRPr="00ED3677">
        <w:rPr>
          <w:sz w:val="24"/>
          <w:szCs w:val="24"/>
        </w:rPr>
        <w:t>îmbunătățește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calitatea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oaselor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27</w:t>
      </w:r>
      <w:r w:rsidRPr="00ED3677">
        <w:rPr>
          <w:sz w:val="24"/>
          <w:szCs w:val="24"/>
        </w:rPr>
        <w:t xml:space="preserve">]. </w:t>
      </w:r>
    </w:p>
    <w:p w14:paraId="6C028321" w14:textId="36184998" w:rsidR="009B46BF" w:rsidRDefault="00ED3677" w:rsidP="009B46BF">
      <w:pPr>
        <w:rPr>
          <w:sz w:val="24"/>
          <w:szCs w:val="24"/>
        </w:rPr>
      </w:pPr>
      <w:r w:rsidRPr="00ED3677">
        <w:rPr>
          <w:sz w:val="24"/>
          <w:szCs w:val="24"/>
        </w:rPr>
        <w:t>O meta-</w:t>
      </w:r>
      <w:proofErr w:type="spellStart"/>
      <w:r w:rsidRPr="00ED3677">
        <w:rPr>
          <w:sz w:val="24"/>
          <w:szCs w:val="24"/>
        </w:rPr>
        <w:t>analiză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efectuată</w:t>
      </w:r>
      <w:proofErr w:type="spellEnd"/>
      <w:r w:rsidRPr="00ED3677">
        <w:rPr>
          <w:sz w:val="24"/>
          <w:szCs w:val="24"/>
        </w:rPr>
        <w:t xml:space="preserve"> de Shen et al. </w:t>
      </w:r>
      <w:proofErr w:type="gramStart"/>
      <w:r w:rsidRPr="00ED3677">
        <w:rPr>
          <w:sz w:val="24"/>
          <w:szCs w:val="24"/>
        </w:rPr>
        <w:t>a</w:t>
      </w:r>
      <w:proofErr w:type="gram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arătat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că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acizii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grași</w:t>
      </w:r>
      <w:proofErr w:type="spellEnd"/>
      <w:r w:rsidRPr="00ED3677">
        <w:rPr>
          <w:sz w:val="24"/>
          <w:szCs w:val="24"/>
        </w:rPr>
        <w:t xml:space="preserve"> omega-3 au </w:t>
      </w:r>
      <w:proofErr w:type="spellStart"/>
      <w:r w:rsidRPr="00ED3677">
        <w:rPr>
          <w:sz w:val="24"/>
          <w:szCs w:val="24"/>
        </w:rPr>
        <w:t>redus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nivelurile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serice</w:t>
      </w:r>
      <w:proofErr w:type="spellEnd"/>
      <w:r w:rsidRPr="00ED3677">
        <w:rPr>
          <w:sz w:val="24"/>
          <w:szCs w:val="24"/>
        </w:rPr>
        <w:t xml:space="preserve"> osteocalcin la </w:t>
      </w:r>
      <w:proofErr w:type="spellStart"/>
      <w:r w:rsidRPr="00ED3677">
        <w:rPr>
          <w:sz w:val="24"/>
          <w:szCs w:val="24"/>
        </w:rPr>
        <w:t>femeile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aflate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în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postmenopauză</w:t>
      </w:r>
      <w:proofErr w:type="spellEnd"/>
      <w:r w:rsidR="009B46BF">
        <w:rPr>
          <w:sz w:val="24"/>
          <w:szCs w:val="24"/>
        </w:rPr>
        <w:t xml:space="preserve"> </w:t>
      </w:r>
      <w:r w:rsidRPr="00ED3677">
        <w:rPr>
          <w:sz w:val="24"/>
          <w:szCs w:val="24"/>
        </w:rPr>
        <w:t>[</w:t>
      </w:r>
      <w:r w:rsidR="00380AA4">
        <w:rPr>
          <w:sz w:val="24"/>
          <w:szCs w:val="24"/>
        </w:rPr>
        <w:t>28</w:t>
      </w:r>
      <w:r w:rsidRPr="00ED3677">
        <w:rPr>
          <w:sz w:val="24"/>
          <w:szCs w:val="24"/>
        </w:rPr>
        <w:t xml:space="preserve">]. </w:t>
      </w:r>
    </w:p>
    <w:p w14:paraId="36BE701C" w14:textId="1C2DDE08" w:rsidR="00C5760D" w:rsidRDefault="00ED3677" w:rsidP="00ED3677">
      <w:pPr>
        <w:rPr>
          <w:sz w:val="24"/>
          <w:szCs w:val="24"/>
        </w:rPr>
      </w:pPr>
      <w:r w:rsidRPr="009B46BF">
        <w:rPr>
          <w:b/>
          <w:bCs/>
          <w:i/>
          <w:iCs/>
          <w:sz w:val="24"/>
          <w:szCs w:val="24"/>
        </w:rPr>
        <w:t xml:space="preserve">Acid folic </w:t>
      </w:r>
      <w:proofErr w:type="spellStart"/>
      <w:r w:rsidRPr="009B46BF">
        <w:rPr>
          <w:b/>
          <w:bCs/>
          <w:sz w:val="24"/>
          <w:szCs w:val="24"/>
        </w:rPr>
        <w:t>și</w:t>
      </w:r>
      <w:proofErr w:type="spellEnd"/>
      <w:r w:rsidRPr="009B46B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B46BF">
        <w:rPr>
          <w:b/>
          <w:bCs/>
          <w:i/>
          <w:iCs/>
          <w:sz w:val="24"/>
          <w:szCs w:val="24"/>
        </w:rPr>
        <w:t>vitamina</w:t>
      </w:r>
      <w:proofErr w:type="spellEnd"/>
      <w:r w:rsidRPr="009B46BF">
        <w:rPr>
          <w:b/>
          <w:bCs/>
          <w:i/>
          <w:iCs/>
          <w:sz w:val="24"/>
          <w:szCs w:val="24"/>
        </w:rPr>
        <w:t xml:space="preserve"> B-12</w:t>
      </w:r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ar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putea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influența</w:t>
      </w:r>
      <w:proofErr w:type="spellEnd"/>
      <w:r w:rsidRPr="00ED3677">
        <w:rPr>
          <w:sz w:val="24"/>
          <w:szCs w:val="24"/>
        </w:rPr>
        <w:t xml:space="preserve">, de </w:t>
      </w:r>
      <w:proofErr w:type="spellStart"/>
      <w:r w:rsidRPr="00ED3677">
        <w:rPr>
          <w:sz w:val="24"/>
          <w:szCs w:val="24"/>
        </w:rPr>
        <w:t>asemenea</w:t>
      </w:r>
      <w:proofErr w:type="spellEnd"/>
      <w:r w:rsidRPr="00ED3677">
        <w:rPr>
          <w:sz w:val="24"/>
          <w:szCs w:val="24"/>
        </w:rPr>
        <w:t xml:space="preserve">, </w:t>
      </w:r>
      <w:proofErr w:type="spellStart"/>
      <w:r w:rsidRPr="00ED3677">
        <w:rPr>
          <w:sz w:val="24"/>
          <w:szCs w:val="24"/>
        </w:rPr>
        <w:t>osoase</w:t>
      </w:r>
      <w:r w:rsidR="009B46BF">
        <w:rPr>
          <w:sz w:val="24"/>
          <w:szCs w:val="24"/>
        </w:rPr>
        <w:t>le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prin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reducerea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concentrațiilor</w:t>
      </w:r>
      <w:proofErr w:type="spellEnd"/>
      <w:r w:rsidRPr="00ED3677">
        <w:rPr>
          <w:sz w:val="24"/>
          <w:szCs w:val="24"/>
        </w:rPr>
        <w:t xml:space="preserve"> de </w:t>
      </w:r>
      <w:proofErr w:type="spellStart"/>
      <w:r w:rsidRPr="00ED3677">
        <w:rPr>
          <w:sz w:val="24"/>
          <w:szCs w:val="24"/>
        </w:rPr>
        <w:t>homocisteina</w:t>
      </w:r>
      <w:proofErr w:type="spellEnd"/>
      <w:r w:rsidRPr="00ED3677">
        <w:rPr>
          <w:sz w:val="24"/>
          <w:szCs w:val="24"/>
        </w:rPr>
        <w:t xml:space="preserve">; </w:t>
      </w:r>
      <w:proofErr w:type="spellStart"/>
      <w:r w:rsidRPr="00ED3677">
        <w:rPr>
          <w:sz w:val="24"/>
          <w:szCs w:val="24"/>
        </w:rPr>
        <w:t>homocisteina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este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legată</w:t>
      </w:r>
      <w:proofErr w:type="spellEnd"/>
      <w:r w:rsidRPr="00ED3677">
        <w:rPr>
          <w:sz w:val="24"/>
          <w:szCs w:val="24"/>
        </w:rPr>
        <w:t xml:space="preserve"> de DMO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mic </w:t>
      </w:r>
      <w:proofErr w:type="spellStart"/>
      <w:r w:rsidRPr="00ED3677">
        <w:rPr>
          <w:sz w:val="24"/>
          <w:szCs w:val="24"/>
        </w:rPr>
        <w:t>și</w:t>
      </w:r>
      <w:proofErr w:type="spellEnd"/>
      <w:r w:rsidRPr="00ED3677">
        <w:rPr>
          <w:sz w:val="24"/>
          <w:szCs w:val="24"/>
        </w:rPr>
        <w:t xml:space="preserve"> de un </w:t>
      </w:r>
      <w:proofErr w:type="spellStart"/>
      <w:r w:rsidRPr="00ED3677">
        <w:rPr>
          <w:sz w:val="24"/>
          <w:szCs w:val="24"/>
        </w:rPr>
        <w:t>risc</w:t>
      </w:r>
      <w:proofErr w:type="spellEnd"/>
      <w:r w:rsidRPr="00ED3677">
        <w:rPr>
          <w:sz w:val="24"/>
          <w:szCs w:val="24"/>
        </w:rPr>
        <w:t xml:space="preserve"> </w:t>
      </w:r>
      <w:proofErr w:type="spellStart"/>
      <w:r w:rsidRPr="00ED3677">
        <w:rPr>
          <w:sz w:val="24"/>
          <w:szCs w:val="24"/>
        </w:rPr>
        <w:t>mai</w:t>
      </w:r>
      <w:proofErr w:type="spellEnd"/>
      <w:r w:rsidRPr="00ED3677">
        <w:rPr>
          <w:sz w:val="24"/>
          <w:szCs w:val="24"/>
        </w:rPr>
        <w:t xml:space="preserve"> mare de </w:t>
      </w:r>
      <w:proofErr w:type="spellStart"/>
      <w:r w:rsidRPr="00ED3677">
        <w:rPr>
          <w:sz w:val="24"/>
          <w:szCs w:val="24"/>
        </w:rPr>
        <w:t>fractură</w:t>
      </w:r>
      <w:proofErr w:type="spellEnd"/>
      <w:r w:rsidRPr="00ED3677">
        <w:rPr>
          <w:sz w:val="24"/>
          <w:szCs w:val="24"/>
        </w:rPr>
        <w:t xml:space="preserve"> [</w:t>
      </w:r>
      <w:r w:rsidR="00380AA4">
        <w:rPr>
          <w:sz w:val="24"/>
          <w:szCs w:val="24"/>
        </w:rPr>
        <w:t>29</w:t>
      </w:r>
      <w:r w:rsidRPr="00ED3677">
        <w:rPr>
          <w:sz w:val="24"/>
          <w:szCs w:val="24"/>
        </w:rPr>
        <w:t xml:space="preserve">]. </w:t>
      </w:r>
    </w:p>
    <w:p w14:paraId="71543300" w14:textId="46356C27" w:rsidR="00380AA4" w:rsidRDefault="00380AA4" w:rsidP="00ED3677">
      <w:pPr>
        <w:rPr>
          <w:sz w:val="24"/>
          <w:szCs w:val="24"/>
        </w:rPr>
      </w:pPr>
    </w:p>
    <w:p w14:paraId="0A82F667" w14:textId="065A529A" w:rsidR="00380AA4" w:rsidRDefault="00380AA4" w:rsidP="00ED36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Bibliografie</w:t>
      </w:r>
      <w:proofErr w:type="spellEnd"/>
    </w:p>
    <w:p w14:paraId="387118C5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>Muñoz-</w:t>
      </w:r>
      <w:proofErr w:type="spellStart"/>
      <w:r w:rsidRPr="00F54364">
        <w:rPr>
          <w:sz w:val="24"/>
          <w:szCs w:val="24"/>
        </w:rPr>
        <w:t>Garach</w:t>
      </w:r>
      <w:proofErr w:type="spellEnd"/>
      <w:r w:rsidRPr="00F54364">
        <w:rPr>
          <w:sz w:val="24"/>
          <w:szCs w:val="24"/>
        </w:rPr>
        <w:t xml:space="preserve"> A, García-Fontana B, Muñoz-Torres M. Nutrients and Dietary Patterns Related to Osteoporosis. </w:t>
      </w:r>
      <w:r w:rsidRPr="00F54364">
        <w:rPr>
          <w:i/>
          <w:iCs/>
          <w:sz w:val="24"/>
          <w:szCs w:val="24"/>
        </w:rPr>
        <w:t>Nutrients</w:t>
      </w:r>
      <w:r w:rsidRPr="00F54364">
        <w:rPr>
          <w:sz w:val="24"/>
          <w:szCs w:val="24"/>
        </w:rPr>
        <w:t xml:space="preserve">. 2020;12(7):1986. </w:t>
      </w:r>
    </w:p>
    <w:p w14:paraId="65D017EE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Kanis</w:t>
      </w:r>
      <w:proofErr w:type="spellEnd"/>
      <w:r w:rsidRPr="00F54364">
        <w:rPr>
          <w:sz w:val="24"/>
          <w:szCs w:val="24"/>
        </w:rPr>
        <w:t xml:space="preserve"> J.A., Cooper C., Rizzoli R., </w:t>
      </w:r>
      <w:proofErr w:type="spellStart"/>
      <w:r w:rsidRPr="00F54364">
        <w:rPr>
          <w:sz w:val="24"/>
          <w:szCs w:val="24"/>
        </w:rPr>
        <w:t>Reginster</w:t>
      </w:r>
      <w:proofErr w:type="spellEnd"/>
      <w:r w:rsidRPr="00F54364">
        <w:rPr>
          <w:sz w:val="24"/>
          <w:szCs w:val="24"/>
        </w:rPr>
        <w:t xml:space="preserve"> J.-Y. European guidance for the diagnosis and management of osteoporosis in postmenopausal women.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 Int. </w:t>
      </w:r>
      <w:proofErr w:type="gramStart"/>
      <w:r w:rsidRPr="00F54364">
        <w:rPr>
          <w:sz w:val="24"/>
          <w:szCs w:val="24"/>
        </w:rPr>
        <w:t>2019;30:3</w:t>
      </w:r>
      <w:proofErr w:type="gramEnd"/>
      <w:r w:rsidRPr="00F54364">
        <w:rPr>
          <w:sz w:val="24"/>
          <w:szCs w:val="24"/>
        </w:rPr>
        <w:t>–44.</w:t>
      </w:r>
    </w:p>
    <w:p w14:paraId="7B32E18B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Levis</w:t>
      </w:r>
      <w:proofErr w:type="spellEnd"/>
      <w:r w:rsidRPr="00F54364">
        <w:rPr>
          <w:sz w:val="24"/>
          <w:szCs w:val="24"/>
        </w:rPr>
        <w:t xml:space="preserve"> S., </w:t>
      </w:r>
      <w:proofErr w:type="spellStart"/>
      <w:r w:rsidRPr="00F54364">
        <w:rPr>
          <w:sz w:val="24"/>
          <w:szCs w:val="24"/>
        </w:rPr>
        <w:t>Lagari</w:t>
      </w:r>
      <w:proofErr w:type="spellEnd"/>
      <w:r w:rsidRPr="00F54364">
        <w:rPr>
          <w:sz w:val="24"/>
          <w:szCs w:val="24"/>
        </w:rPr>
        <w:t xml:space="preserve"> V.S. The role of diet in osteoporosis prevention and management. </w:t>
      </w:r>
      <w:proofErr w:type="spellStart"/>
      <w:r w:rsidRPr="00F54364">
        <w:rPr>
          <w:sz w:val="24"/>
          <w:szCs w:val="24"/>
        </w:rPr>
        <w:t>Curr</w:t>
      </w:r>
      <w:proofErr w:type="spellEnd"/>
      <w:r w:rsidRPr="00F54364">
        <w:rPr>
          <w:sz w:val="24"/>
          <w:szCs w:val="24"/>
        </w:rPr>
        <w:t xml:space="preserve">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Rep. </w:t>
      </w:r>
      <w:proofErr w:type="gramStart"/>
      <w:r w:rsidRPr="00F54364">
        <w:rPr>
          <w:sz w:val="24"/>
          <w:szCs w:val="24"/>
        </w:rPr>
        <w:t>2012;10:296</w:t>
      </w:r>
      <w:proofErr w:type="gramEnd"/>
      <w:r w:rsidRPr="00F54364">
        <w:rPr>
          <w:sz w:val="24"/>
          <w:szCs w:val="24"/>
        </w:rPr>
        <w:t>–302.</w:t>
      </w:r>
    </w:p>
    <w:p w14:paraId="6A039AC3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Chiodini</w:t>
      </w:r>
      <w:proofErr w:type="spellEnd"/>
      <w:r w:rsidRPr="00F54364">
        <w:rPr>
          <w:sz w:val="24"/>
          <w:szCs w:val="24"/>
        </w:rPr>
        <w:t xml:space="preserve"> I., </w:t>
      </w:r>
      <w:proofErr w:type="spellStart"/>
      <w:r w:rsidRPr="00F54364">
        <w:rPr>
          <w:sz w:val="24"/>
          <w:szCs w:val="24"/>
        </w:rPr>
        <w:t>Bolland</w:t>
      </w:r>
      <w:proofErr w:type="spellEnd"/>
      <w:r w:rsidRPr="00F54364">
        <w:rPr>
          <w:sz w:val="24"/>
          <w:szCs w:val="24"/>
        </w:rPr>
        <w:t xml:space="preserve"> M.J. Calcium supplementation in osteoporosis: Useful or harmful? Eur. J. Endocrinol. 2018;</w:t>
      </w:r>
      <w:proofErr w:type="gramStart"/>
      <w:r w:rsidRPr="00F54364">
        <w:rPr>
          <w:sz w:val="24"/>
          <w:szCs w:val="24"/>
        </w:rPr>
        <w:t>178:D</w:t>
      </w:r>
      <w:proofErr w:type="gramEnd"/>
      <w:r w:rsidRPr="00F54364">
        <w:rPr>
          <w:sz w:val="24"/>
          <w:szCs w:val="24"/>
        </w:rPr>
        <w:t xml:space="preserve">13–D25. </w:t>
      </w:r>
    </w:p>
    <w:p w14:paraId="2755220D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Kanis</w:t>
      </w:r>
      <w:proofErr w:type="spellEnd"/>
      <w:r w:rsidRPr="00F54364">
        <w:rPr>
          <w:sz w:val="24"/>
          <w:szCs w:val="24"/>
        </w:rPr>
        <w:t xml:space="preserve"> J.A., Cooper C., Rizzoli R., Abrahamsen B., Al-</w:t>
      </w:r>
      <w:proofErr w:type="spellStart"/>
      <w:r w:rsidRPr="00F54364">
        <w:rPr>
          <w:sz w:val="24"/>
          <w:szCs w:val="24"/>
        </w:rPr>
        <w:t>Daghri</w:t>
      </w:r>
      <w:proofErr w:type="spellEnd"/>
      <w:r w:rsidRPr="00F54364">
        <w:rPr>
          <w:sz w:val="24"/>
          <w:szCs w:val="24"/>
        </w:rPr>
        <w:t xml:space="preserve"> N.M., Brandi M.L., </w:t>
      </w:r>
      <w:proofErr w:type="spellStart"/>
      <w:r w:rsidRPr="00F54364">
        <w:rPr>
          <w:sz w:val="24"/>
          <w:szCs w:val="24"/>
        </w:rPr>
        <w:t>Cannata-Andia</w:t>
      </w:r>
      <w:proofErr w:type="spellEnd"/>
      <w:r w:rsidRPr="00F54364">
        <w:rPr>
          <w:sz w:val="24"/>
          <w:szCs w:val="24"/>
        </w:rPr>
        <w:t xml:space="preserve"> J., </w:t>
      </w:r>
      <w:proofErr w:type="spellStart"/>
      <w:r w:rsidRPr="00F54364">
        <w:rPr>
          <w:sz w:val="24"/>
          <w:szCs w:val="24"/>
        </w:rPr>
        <w:t>Cortet</w:t>
      </w:r>
      <w:proofErr w:type="spellEnd"/>
      <w:r w:rsidRPr="00F54364">
        <w:rPr>
          <w:sz w:val="24"/>
          <w:szCs w:val="24"/>
        </w:rPr>
        <w:t xml:space="preserve"> B., </w:t>
      </w:r>
      <w:proofErr w:type="spellStart"/>
      <w:r w:rsidRPr="00F54364">
        <w:rPr>
          <w:sz w:val="24"/>
          <w:szCs w:val="24"/>
        </w:rPr>
        <w:t>Dimai</w:t>
      </w:r>
      <w:proofErr w:type="spellEnd"/>
      <w:r w:rsidRPr="00F54364">
        <w:rPr>
          <w:sz w:val="24"/>
          <w:szCs w:val="24"/>
        </w:rPr>
        <w:t xml:space="preserve"> H.P., Ferrari S., et al. Identification and management of patients at increased risk of osteoporotic fracture: Outcomes of an ESCEO expert consensus meeting.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Int. </w:t>
      </w:r>
      <w:proofErr w:type="gramStart"/>
      <w:r w:rsidRPr="00F54364">
        <w:rPr>
          <w:sz w:val="24"/>
          <w:szCs w:val="24"/>
        </w:rPr>
        <w:t>2017;28:2023</w:t>
      </w:r>
      <w:proofErr w:type="gramEnd"/>
      <w:r w:rsidRPr="00F54364">
        <w:rPr>
          <w:sz w:val="24"/>
          <w:szCs w:val="24"/>
        </w:rPr>
        <w:t xml:space="preserve">–2034. </w:t>
      </w:r>
    </w:p>
    <w:p w14:paraId="08082631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Compston</w:t>
      </w:r>
      <w:proofErr w:type="spellEnd"/>
      <w:r w:rsidRPr="00F54364">
        <w:rPr>
          <w:sz w:val="24"/>
          <w:szCs w:val="24"/>
        </w:rPr>
        <w:t xml:space="preserve"> J., Cooper A., Cooper C., Gittoes N., Gregson C., Harvey N., Hope S., </w:t>
      </w:r>
      <w:proofErr w:type="spellStart"/>
      <w:r w:rsidRPr="00F54364">
        <w:rPr>
          <w:sz w:val="24"/>
          <w:szCs w:val="24"/>
        </w:rPr>
        <w:t>Kanis</w:t>
      </w:r>
      <w:proofErr w:type="spellEnd"/>
      <w:r w:rsidRPr="00F54364">
        <w:rPr>
          <w:sz w:val="24"/>
          <w:szCs w:val="24"/>
        </w:rPr>
        <w:t xml:space="preserve"> J.A., McCloskey E.V., Poole K.E.S., et al. UK clinical guideline for the prevention and treatment of osteoporosis. Arch.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</w:t>
      </w:r>
      <w:proofErr w:type="gramStart"/>
      <w:r w:rsidRPr="00F54364">
        <w:rPr>
          <w:sz w:val="24"/>
          <w:szCs w:val="24"/>
        </w:rPr>
        <w:t>2017;12:43</w:t>
      </w:r>
      <w:proofErr w:type="gramEnd"/>
      <w:r w:rsidRPr="00F54364">
        <w:rPr>
          <w:sz w:val="24"/>
          <w:szCs w:val="24"/>
        </w:rPr>
        <w:t xml:space="preserve">. </w:t>
      </w:r>
    </w:p>
    <w:p w14:paraId="3BADD4A2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Bolland</w:t>
      </w:r>
      <w:proofErr w:type="spellEnd"/>
      <w:r w:rsidRPr="00F54364">
        <w:rPr>
          <w:sz w:val="24"/>
          <w:szCs w:val="24"/>
        </w:rPr>
        <w:t xml:space="preserve"> M.J., Grey A., Reid I.R. Should we prescribe calcium or vitamin D supplements to treat or prevent osteoporosis? Climacteric. 2015;18(Suppl. 2):22–31.</w:t>
      </w:r>
    </w:p>
    <w:p w14:paraId="16C3127C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Adami</w:t>
      </w:r>
      <w:proofErr w:type="spellEnd"/>
      <w:r w:rsidRPr="00F54364">
        <w:rPr>
          <w:sz w:val="24"/>
          <w:szCs w:val="24"/>
        </w:rPr>
        <w:t xml:space="preserve"> S., Giannini S., Bianchi G., </w:t>
      </w:r>
      <w:proofErr w:type="spellStart"/>
      <w:r w:rsidRPr="00F54364">
        <w:rPr>
          <w:sz w:val="24"/>
          <w:szCs w:val="24"/>
        </w:rPr>
        <w:t>Sinigaglia</w:t>
      </w:r>
      <w:proofErr w:type="spellEnd"/>
      <w:r w:rsidRPr="00F54364">
        <w:rPr>
          <w:sz w:val="24"/>
          <w:szCs w:val="24"/>
        </w:rPr>
        <w:t xml:space="preserve"> L., Di </w:t>
      </w:r>
      <w:proofErr w:type="spellStart"/>
      <w:r w:rsidRPr="00F54364">
        <w:rPr>
          <w:sz w:val="24"/>
          <w:szCs w:val="24"/>
        </w:rPr>
        <w:t>Munno</w:t>
      </w:r>
      <w:proofErr w:type="spellEnd"/>
      <w:r w:rsidRPr="00F54364">
        <w:rPr>
          <w:sz w:val="24"/>
          <w:szCs w:val="24"/>
        </w:rPr>
        <w:t xml:space="preserve"> O., Fiore C.E., </w:t>
      </w:r>
      <w:proofErr w:type="spellStart"/>
      <w:r w:rsidRPr="00F54364">
        <w:rPr>
          <w:sz w:val="24"/>
          <w:szCs w:val="24"/>
        </w:rPr>
        <w:t>Minisola</w:t>
      </w:r>
      <w:proofErr w:type="spellEnd"/>
      <w:r w:rsidRPr="00F54364">
        <w:rPr>
          <w:sz w:val="24"/>
          <w:szCs w:val="24"/>
        </w:rPr>
        <w:t xml:space="preserve"> S., Rossini M. Vitamin D status and response to treatment in post-menopausal osteoporosis.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Int. </w:t>
      </w:r>
      <w:proofErr w:type="gramStart"/>
      <w:r w:rsidRPr="00F54364">
        <w:rPr>
          <w:sz w:val="24"/>
          <w:szCs w:val="24"/>
        </w:rPr>
        <w:t>2009;20:239</w:t>
      </w:r>
      <w:proofErr w:type="gramEnd"/>
      <w:r w:rsidRPr="00F54364">
        <w:rPr>
          <w:sz w:val="24"/>
          <w:szCs w:val="24"/>
        </w:rPr>
        <w:t>–244.</w:t>
      </w:r>
    </w:p>
    <w:p w14:paraId="54A8EB66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Li J.-Y., </w:t>
      </w:r>
      <w:proofErr w:type="spellStart"/>
      <w:r w:rsidRPr="00F54364">
        <w:rPr>
          <w:sz w:val="24"/>
          <w:szCs w:val="24"/>
        </w:rPr>
        <w:t>Chassaing</w:t>
      </w:r>
      <w:proofErr w:type="spellEnd"/>
      <w:r w:rsidRPr="00F54364">
        <w:rPr>
          <w:sz w:val="24"/>
          <w:szCs w:val="24"/>
        </w:rPr>
        <w:t xml:space="preserve"> B., Tyagi A.M., Vaccaro C., Luo T., Adams J., Darby T.M., </w:t>
      </w:r>
      <w:proofErr w:type="spellStart"/>
      <w:r w:rsidRPr="00F54364">
        <w:rPr>
          <w:sz w:val="24"/>
          <w:szCs w:val="24"/>
        </w:rPr>
        <w:t>Weitzmann</w:t>
      </w:r>
      <w:proofErr w:type="spellEnd"/>
      <w:r w:rsidRPr="00F54364">
        <w:rPr>
          <w:sz w:val="24"/>
          <w:szCs w:val="24"/>
        </w:rPr>
        <w:t xml:space="preserve"> M.N., </w:t>
      </w:r>
      <w:proofErr w:type="spellStart"/>
      <w:r w:rsidRPr="00F54364">
        <w:rPr>
          <w:sz w:val="24"/>
          <w:szCs w:val="24"/>
        </w:rPr>
        <w:t>Mulle</w:t>
      </w:r>
      <w:proofErr w:type="spellEnd"/>
      <w:r w:rsidRPr="00F54364">
        <w:rPr>
          <w:sz w:val="24"/>
          <w:szCs w:val="24"/>
        </w:rPr>
        <w:t xml:space="preserve"> J.G., Gewirtz A.T., et al. Sex steroid deficiency-associated bone loss is microbiota dependent and prevented by probiotics. J. Clin. </w:t>
      </w:r>
      <w:proofErr w:type="spellStart"/>
      <w:r w:rsidRPr="00F54364">
        <w:rPr>
          <w:sz w:val="24"/>
          <w:szCs w:val="24"/>
        </w:rPr>
        <w:t>Investig</w:t>
      </w:r>
      <w:proofErr w:type="spellEnd"/>
      <w:r w:rsidRPr="00F54364">
        <w:rPr>
          <w:sz w:val="24"/>
          <w:szCs w:val="24"/>
        </w:rPr>
        <w:t xml:space="preserve">. </w:t>
      </w:r>
      <w:proofErr w:type="gramStart"/>
      <w:r w:rsidRPr="00F54364">
        <w:rPr>
          <w:sz w:val="24"/>
          <w:szCs w:val="24"/>
        </w:rPr>
        <w:t>2016;126:2049</w:t>
      </w:r>
      <w:proofErr w:type="gramEnd"/>
      <w:r w:rsidRPr="00F54364">
        <w:rPr>
          <w:sz w:val="24"/>
          <w:szCs w:val="24"/>
        </w:rPr>
        <w:t xml:space="preserve">–2063. </w:t>
      </w:r>
    </w:p>
    <w:p w14:paraId="6F5B856A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Kolsoom</w:t>
      </w:r>
      <w:proofErr w:type="spellEnd"/>
      <w:r w:rsidRPr="00F54364">
        <w:rPr>
          <w:sz w:val="24"/>
          <w:szCs w:val="24"/>
        </w:rPr>
        <w:t xml:space="preserve"> </w:t>
      </w:r>
      <w:proofErr w:type="spellStart"/>
      <w:proofErr w:type="gramStart"/>
      <w:r w:rsidRPr="00F54364">
        <w:rPr>
          <w:sz w:val="24"/>
          <w:szCs w:val="24"/>
        </w:rPr>
        <w:t>P,Rosita</w:t>
      </w:r>
      <w:proofErr w:type="spellEnd"/>
      <w:proofErr w:type="gramEnd"/>
      <w:r w:rsidRPr="00F54364">
        <w:rPr>
          <w:sz w:val="24"/>
          <w:szCs w:val="24"/>
        </w:rPr>
        <w:t xml:space="preserve"> </w:t>
      </w:r>
      <w:proofErr w:type="spellStart"/>
      <w:r w:rsidRPr="00F54364">
        <w:rPr>
          <w:sz w:val="24"/>
          <w:szCs w:val="24"/>
        </w:rPr>
        <w:t>J,Golgis</w:t>
      </w:r>
      <w:proofErr w:type="spellEnd"/>
      <w:r w:rsidRPr="00F54364">
        <w:rPr>
          <w:sz w:val="24"/>
          <w:szCs w:val="24"/>
        </w:rPr>
        <w:t xml:space="preserve"> </w:t>
      </w:r>
      <w:proofErr w:type="spellStart"/>
      <w:r w:rsidRPr="00F54364">
        <w:rPr>
          <w:sz w:val="24"/>
          <w:szCs w:val="24"/>
        </w:rPr>
        <w:t>K,Reza</w:t>
      </w:r>
      <w:proofErr w:type="spellEnd"/>
      <w:r w:rsidRPr="00F54364">
        <w:rPr>
          <w:sz w:val="24"/>
          <w:szCs w:val="24"/>
        </w:rPr>
        <w:t xml:space="preserve"> E. Effect of Probiotics Supplementation on Bone Mineral Content and Bone Mass Density. The Scientific World Journal 2014(6):595962.</w:t>
      </w:r>
    </w:p>
    <w:p w14:paraId="251A19C9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Rizzoli R., </w:t>
      </w:r>
      <w:proofErr w:type="spellStart"/>
      <w:r w:rsidRPr="00F54364">
        <w:rPr>
          <w:sz w:val="24"/>
          <w:szCs w:val="24"/>
        </w:rPr>
        <w:t>Biver</w:t>
      </w:r>
      <w:proofErr w:type="spellEnd"/>
      <w:r w:rsidRPr="00F54364">
        <w:rPr>
          <w:sz w:val="24"/>
          <w:szCs w:val="24"/>
        </w:rPr>
        <w:t xml:space="preserve"> E. Are probiotics the new calcium and vitamin D for bone health? </w:t>
      </w:r>
      <w:proofErr w:type="spellStart"/>
      <w:r w:rsidRPr="00F54364">
        <w:rPr>
          <w:sz w:val="24"/>
          <w:szCs w:val="24"/>
        </w:rPr>
        <w:t>Curr</w:t>
      </w:r>
      <w:proofErr w:type="spellEnd"/>
      <w:r w:rsidRPr="00F54364">
        <w:rPr>
          <w:sz w:val="24"/>
          <w:szCs w:val="24"/>
        </w:rPr>
        <w:t xml:space="preserve">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Rep. 2020 </w:t>
      </w:r>
      <w:proofErr w:type="spellStart"/>
      <w:r w:rsidRPr="00F54364">
        <w:rPr>
          <w:sz w:val="24"/>
          <w:szCs w:val="24"/>
        </w:rPr>
        <w:t>doi</w:t>
      </w:r>
      <w:proofErr w:type="spellEnd"/>
      <w:r w:rsidRPr="00F54364">
        <w:rPr>
          <w:sz w:val="24"/>
          <w:szCs w:val="24"/>
        </w:rPr>
        <w:t>: 10.1007/s11914-020-00591-6.</w:t>
      </w:r>
    </w:p>
    <w:p w14:paraId="755C0B9C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Willett W.C., Ludwig D.S. Milk and Health. N. Engl. J. Med. </w:t>
      </w:r>
      <w:proofErr w:type="gramStart"/>
      <w:r w:rsidRPr="00F54364">
        <w:rPr>
          <w:sz w:val="24"/>
          <w:szCs w:val="24"/>
        </w:rPr>
        <w:t>2020;382:644</w:t>
      </w:r>
      <w:proofErr w:type="gramEnd"/>
      <w:r w:rsidRPr="00F54364">
        <w:rPr>
          <w:sz w:val="24"/>
          <w:szCs w:val="24"/>
        </w:rPr>
        <w:t xml:space="preserve">–654. </w:t>
      </w:r>
      <w:proofErr w:type="spellStart"/>
      <w:r w:rsidRPr="00F54364">
        <w:rPr>
          <w:sz w:val="24"/>
          <w:szCs w:val="24"/>
        </w:rPr>
        <w:t>doi</w:t>
      </w:r>
      <w:proofErr w:type="spellEnd"/>
      <w:r w:rsidRPr="00F54364">
        <w:rPr>
          <w:sz w:val="24"/>
          <w:szCs w:val="24"/>
        </w:rPr>
        <w:t>: 10.1056/NEJMra1903547.</w:t>
      </w:r>
    </w:p>
    <w:p w14:paraId="67364679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Bischoff-Ferrari H.A., Kiel D.P., Dawson-Hughes B., </w:t>
      </w:r>
      <w:proofErr w:type="spellStart"/>
      <w:r w:rsidRPr="00F54364">
        <w:rPr>
          <w:sz w:val="24"/>
          <w:szCs w:val="24"/>
        </w:rPr>
        <w:t>Orav</w:t>
      </w:r>
      <w:proofErr w:type="spellEnd"/>
      <w:r w:rsidRPr="00F54364">
        <w:rPr>
          <w:sz w:val="24"/>
          <w:szCs w:val="24"/>
        </w:rPr>
        <w:t xml:space="preserve"> J.E., Li R., Spiegelman D., Dietrich T., Willett W.C. Dietary calcium and serum 25-hydroxyvitamin D status in relation to BMD among U.S. adults. J. Bone Miner. Res. </w:t>
      </w:r>
      <w:proofErr w:type="gramStart"/>
      <w:r w:rsidRPr="00F54364">
        <w:rPr>
          <w:sz w:val="24"/>
          <w:szCs w:val="24"/>
        </w:rPr>
        <w:t>2009;24:935</w:t>
      </w:r>
      <w:proofErr w:type="gramEnd"/>
      <w:r w:rsidRPr="00F54364">
        <w:rPr>
          <w:sz w:val="24"/>
          <w:szCs w:val="24"/>
        </w:rPr>
        <w:t>–942.</w:t>
      </w:r>
    </w:p>
    <w:p w14:paraId="283A71E4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Wallace T.C., Jun S., Zou P., McCabe G.P., Craig B.A., </w:t>
      </w:r>
      <w:proofErr w:type="spellStart"/>
      <w:r w:rsidRPr="00F54364">
        <w:rPr>
          <w:sz w:val="24"/>
          <w:szCs w:val="24"/>
        </w:rPr>
        <w:t>Cauley</w:t>
      </w:r>
      <w:proofErr w:type="spellEnd"/>
      <w:r w:rsidRPr="00F54364">
        <w:rPr>
          <w:sz w:val="24"/>
          <w:szCs w:val="24"/>
        </w:rPr>
        <w:t xml:space="preserve"> J.A., Weaver C.M., Bailey R.L. Dairy intake is not associated with improvements in bone mineral density or risk of fractures across the menopause transition: Data from the Study of Women’s Health Across the Nation. Menopause. 2020.</w:t>
      </w:r>
    </w:p>
    <w:p w14:paraId="652FFAD0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Michaëlsson</w:t>
      </w:r>
      <w:proofErr w:type="spellEnd"/>
      <w:r w:rsidRPr="00F54364">
        <w:rPr>
          <w:sz w:val="24"/>
          <w:szCs w:val="24"/>
        </w:rPr>
        <w:t xml:space="preserve"> K., </w:t>
      </w:r>
      <w:proofErr w:type="spellStart"/>
      <w:r w:rsidRPr="00F54364">
        <w:rPr>
          <w:sz w:val="24"/>
          <w:szCs w:val="24"/>
        </w:rPr>
        <w:t>Wolk</w:t>
      </w:r>
      <w:proofErr w:type="spellEnd"/>
      <w:r w:rsidRPr="00F54364">
        <w:rPr>
          <w:sz w:val="24"/>
          <w:szCs w:val="24"/>
        </w:rPr>
        <w:t xml:space="preserve"> A., </w:t>
      </w:r>
      <w:proofErr w:type="spellStart"/>
      <w:r w:rsidRPr="00F54364">
        <w:rPr>
          <w:sz w:val="24"/>
          <w:szCs w:val="24"/>
        </w:rPr>
        <w:t>Langenskiöld</w:t>
      </w:r>
      <w:proofErr w:type="spellEnd"/>
      <w:r w:rsidRPr="00F54364">
        <w:rPr>
          <w:sz w:val="24"/>
          <w:szCs w:val="24"/>
        </w:rPr>
        <w:t xml:space="preserve"> S., </w:t>
      </w:r>
      <w:proofErr w:type="spellStart"/>
      <w:r w:rsidRPr="00F54364">
        <w:rPr>
          <w:sz w:val="24"/>
          <w:szCs w:val="24"/>
        </w:rPr>
        <w:t>Basu</w:t>
      </w:r>
      <w:proofErr w:type="spellEnd"/>
      <w:r w:rsidRPr="00F54364">
        <w:rPr>
          <w:sz w:val="24"/>
          <w:szCs w:val="24"/>
        </w:rPr>
        <w:t xml:space="preserve"> S., </w:t>
      </w:r>
      <w:proofErr w:type="spellStart"/>
      <w:r w:rsidRPr="00F54364">
        <w:rPr>
          <w:sz w:val="24"/>
          <w:szCs w:val="24"/>
        </w:rPr>
        <w:t>Warensjö</w:t>
      </w:r>
      <w:proofErr w:type="spellEnd"/>
      <w:r w:rsidRPr="00F54364">
        <w:rPr>
          <w:sz w:val="24"/>
          <w:szCs w:val="24"/>
        </w:rPr>
        <w:t xml:space="preserve"> Lemming E., </w:t>
      </w:r>
      <w:proofErr w:type="spellStart"/>
      <w:r w:rsidRPr="00F54364">
        <w:rPr>
          <w:sz w:val="24"/>
          <w:szCs w:val="24"/>
        </w:rPr>
        <w:t>Melhus</w:t>
      </w:r>
      <w:proofErr w:type="spellEnd"/>
      <w:r w:rsidRPr="00F54364">
        <w:rPr>
          <w:sz w:val="24"/>
          <w:szCs w:val="24"/>
        </w:rPr>
        <w:t xml:space="preserve"> H., Byberg L. Milk intake and risk of mortality and fractures in women and men: Cohort studies. BMJ. 2014;</w:t>
      </w:r>
      <w:proofErr w:type="gramStart"/>
      <w:r w:rsidRPr="00F54364">
        <w:rPr>
          <w:sz w:val="24"/>
          <w:szCs w:val="24"/>
        </w:rPr>
        <w:t>349:g</w:t>
      </w:r>
      <w:proofErr w:type="gramEnd"/>
      <w:r w:rsidRPr="00F54364">
        <w:rPr>
          <w:sz w:val="24"/>
          <w:szCs w:val="24"/>
        </w:rPr>
        <w:t>6015.</w:t>
      </w:r>
    </w:p>
    <w:p w14:paraId="7CB5E63C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Lambert H., </w:t>
      </w:r>
      <w:proofErr w:type="spellStart"/>
      <w:r w:rsidRPr="00F54364">
        <w:rPr>
          <w:sz w:val="24"/>
          <w:szCs w:val="24"/>
        </w:rPr>
        <w:t>Frassetto</w:t>
      </w:r>
      <w:proofErr w:type="spellEnd"/>
      <w:r w:rsidRPr="00F54364">
        <w:rPr>
          <w:sz w:val="24"/>
          <w:szCs w:val="24"/>
        </w:rPr>
        <w:t xml:space="preserve"> L., Moore J.B., Torgerson D., Gannon R., Burckhardt P., Lanham-New S. The effect of supplementation with alkaline potassium salts on bone metabolism: A meta-analysis.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Int. </w:t>
      </w:r>
      <w:proofErr w:type="gramStart"/>
      <w:r w:rsidRPr="00F54364">
        <w:rPr>
          <w:sz w:val="24"/>
          <w:szCs w:val="24"/>
        </w:rPr>
        <w:t>2015;26:1311</w:t>
      </w:r>
      <w:proofErr w:type="gramEnd"/>
      <w:r w:rsidRPr="00F54364">
        <w:rPr>
          <w:sz w:val="24"/>
          <w:szCs w:val="24"/>
        </w:rPr>
        <w:t>–1318.</w:t>
      </w:r>
    </w:p>
    <w:p w14:paraId="694E827B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Erem</w:t>
      </w:r>
      <w:proofErr w:type="spellEnd"/>
      <w:r w:rsidRPr="00F54364">
        <w:rPr>
          <w:sz w:val="24"/>
          <w:szCs w:val="24"/>
        </w:rPr>
        <w:t xml:space="preserve"> S., </w:t>
      </w:r>
      <w:proofErr w:type="spellStart"/>
      <w:r w:rsidRPr="00F54364">
        <w:rPr>
          <w:sz w:val="24"/>
          <w:szCs w:val="24"/>
        </w:rPr>
        <w:t>Atfi</w:t>
      </w:r>
      <w:proofErr w:type="spellEnd"/>
      <w:r w:rsidRPr="00F54364">
        <w:rPr>
          <w:sz w:val="24"/>
          <w:szCs w:val="24"/>
        </w:rPr>
        <w:t xml:space="preserve"> A., Razzaque M.S. Anabolic effects of vitamin D and magnesium in aging bone. J. Steroid </w:t>
      </w:r>
      <w:proofErr w:type="spellStart"/>
      <w:r w:rsidRPr="00F54364">
        <w:rPr>
          <w:sz w:val="24"/>
          <w:szCs w:val="24"/>
        </w:rPr>
        <w:t>Biochem</w:t>
      </w:r>
      <w:proofErr w:type="spellEnd"/>
      <w:r w:rsidRPr="00F54364">
        <w:rPr>
          <w:sz w:val="24"/>
          <w:szCs w:val="24"/>
        </w:rPr>
        <w:t xml:space="preserve">. Mol. Biol. </w:t>
      </w:r>
      <w:proofErr w:type="gramStart"/>
      <w:r w:rsidRPr="00F54364">
        <w:rPr>
          <w:sz w:val="24"/>
          <w:szCs w:val="24"/>
        </w:rPr>
        <w:t>2019;193:105400</w:t>
      </w:r>
      <w:proofErr w:type="gramEnd"/>
      <w:r w:rsidRPr="00F54364">
        <w:rPr>
          <w:sz w:val="24"/>
          <w:szCs w:val="24"/>
        </w:rPr>
        <w:t>.</w:t>
      </w:r>
    </w:p>
    <w:p w14:paraId="03F09E1A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De </w:t>
      </w:r>
      <w:proofErr w:type="spellStart"/>
      <w:r w:rsidRPr="00F54364">
        <w:rPr>
          <w:sz w:val="24"/>
          <w:szCs w:val="24"/>
        </w:rPr>
        <w:t>Baaij</w:t>
      </w:r>
      <w:proofErr w:type="spellEnd"/>
      <w:r w:rsidRPr="00F54364">
        <w:rPr>
          <w:sz w:val="24"/>
          <w:szCs w:val="24"/>
        </w:rPr>
        <w:t xml:space="preserve"> J.H.F., </w:t>
      </w:r>
      <w:proofErr w:type="spellStart"/>
      <w:r w:rsidRPr="00F54364">
        <w:rPr>
          <w:sz w:val="24"/>
          <w:szCs w:val="24"/>
        </w:rPr>
        <w:t>Hoenderop</w:t>
      </w:r>
      <w:proofErr w:type="spellEnd"/>
      <w:r w:rsidRPr="00F54364">
        <w:rPr>
          <w:sz w:val="24"/>
          <w:szCs w:val="24"/>
        </w:rPr>
        <w:t xml:space="preserve"> J.G.J., </w:t>
      </w:r>
      <w:proofErr w:type="spellStart"/>
      <w:r w:rsidRPr="00F54364">
        <w:rPr>
          <w:sz w:val="24"/>
          <w:szCs w:val="24"/>
        </w:rPr>
        <w:t>Bindels</w:t>
      </w:r>
      <w:proofErr w:type="spellEnd"/>
      <w:r w:rsidRPr="00F54364">
        <w:rPr>
          <w:sz w:val="24"/>
          <w:szCs w:val="24"/>
        </w:rPr>
        <w:t xml:space="preserve"> R.J.M. Magnesium in man: Implications for health and disease. Physiol. Rev. </w:t>
      </w:r>
      <w:proofErr w:type="gramStart"/>
      <w:r w:rsidRPr="00F54364">
        <w:rPr>
          <w:sz w:val="24"/>
          <w:szCs w:val="24"/>
        </w:rPr>
        <w:t>2015;95:1</w:t>
      </w:r>
      <w:proofErr w:type="gramEnd"/>
      <w:r w:rsidRPr="00F54364">
        <w:rPr>
          <w:sz w:val="24"/>
          <w:szCs w:val="24"/>
        </w:rPr>
        <w:t>–46. </w:t>
      </w:r>
    </w:p>
    <w:p w14:paraId="40EDF0C3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Uwitonze</w:t>
      </w:r>
      <w:proofErr w:type="spellEnd"/>
      <w:r w:rsidRPr="00F54364">
        <w:rPr>
          <w:sz w:val="24"/>
          <w:szCs w:val="24"/>
        </w:rPr>
        <w:t xml:space="preserve"> A.M., Razzaque M.S. Role of magnesium in vitamin D activation and function. J. Am. Osteopath. Assoc. </w:t>
      </w:r>
      <w:proofErr w:type="gramStart"/>
      <w:r w:rsidRPr="00F54364">
        <w:rPr>
          <w:sz w:val="24"/>
          <w:szCs w:val="24"/>
        </w:rPr>
        <w:t>2018;118:181</w:t>
      </w:r>
      <w:proofErr w:type="gramEnd"/>
      <w:r w:rsidRPr="00F54364">
        <w:rPr>
          <w:sz w:val="24"/>
          <w:szCs w:val="24"/>
        </w:rPr>
        <w:t>–189.</w:t>
      </w:r>
    </w:p>
    <w:p w14:paraId="033A2DDA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Rizzoli R., Stevenson J.C., Bauer J.M., van Loon L.J.C., </w:t>
      </w:r>
      <w:proofErr w:type="spellStart"/>
      <w:r w:rsidRPr="00F54364">
        <w:rPr>
          <w:sz w:val="24"/>
          <w:szCs w:val="24"/>
        </w:rPr>
        <w:t>Walrand</w:t>
      </w:r>
      <w:proofErr w:type="spellEnd"/>
      <w:r w:rsidRPr="00F54364">
        <w:rPr>
          <w:sz w:val="24"/>
          <w:szCs w:val="24"/>
        </w:rPr>
        <w:t xml:space="preserve"> S., </w:t>
      </w:r>
      <w:proofErr w:type="spellStart"/>
      <w:r w:rsidRPr="00F54364">
        <w:rPr>
          <w:sz w:val="24"/>
          <w:szCs w:val="24"/>
        </w:rPr>
        <w:t>Kanis</w:t>
      </w:r>
      <w:proofErr w:type="spellEnd"/>
      <w:r w:rsidRPr="00F54364">
        <w:rPr>
          <w:sz w:val="24"/>
          <w:szCs w:val="24"/>
        </w:rPr>
        <w:t xml:space="preserve"> J.A., Cooper C., Brandi M.-L., Diez-Perez A., </w:t>
      </w:r>
      <w:proofErr w:type="spellStart"/>
      <w:r w:rsidRPr="00F54364">
        <w:rPr>
          <w:sz w:val="24"/>
          <w:szCs w:val="24"/>
        </w:rPr>
        <w:t>Reginster</w:t>
      </w:r>
      <w:proofErr w:type="spellEnd"/>
      <w:r w:rsidRPr="00F54364">
        <w:rPr>
          <w:sz w:val="24"/>
          <w:szCs w:val="24"/>
        </w:rPr>
        <w:t xml:space="preserve"> J.-Y. The role of dietary protein and vitamin D in maintaining musculoskeletal health in postmenopausal women: A consensus statement from the European Society for Clinical and Economic Aspects of Osteoporosis and Osteoarthritis (ESCEO) </w:t>
      </w:r>
      <w:proofErr w:type="spellStart"/>
      <w:r w:rsidRPr="00F54364">
        <w:rPr>
          <w:sz w:val="24"/>
          <w:szCs w:val="24"/>
        </w:rPr>
        <w:t>Maturitas</w:t>
      </w:r>
      <w:proofErr w:type="spellEnd"/>
      <w:r w:rsidRPr="00F54364">
        <w:rPr>
          <w:sz w:val="24"/>
          <w:szCs w:val="24"/>
        </w:rPr>
        <w:t xml:space="preserve">. </w:t>
      </w:r>
      <w:proofErr w:type="gramStart"/>
      <w:r w:rsidRPr="00F54364">
        <w:rPr>
          <w:sz w:val="24"/>
          <w:szCs w:val="24"/>
        </w:rPr>
        <w:t>2014;79:122</w:t>
      </w:r>
      <w:proofErr w:type="gramEnd"/>
      <w:r w:rsidRPr="00F54364">
        <w:rPr>
          <w:sz w:val="24"/>
          <w:szCs w:val="24"/>
        </w:rPr>
        <w:t>–132.</w:t>
      </w:r>
    </w:p>
    <w:p w14:paraId="69FDC2D5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Rizzoli R., </w:t>
      </w:r>
      <w:proofErr w:type="spellStart"/>
      <w:r w:rsidRPr="00F54364">
        <w:rPr>
          <w:sz w:val="24"/>
          <w:szCs w:val="24"/>
        </w:rPr>
        <w:t>Biver</w:t>
      </w:r>
      <w:proofErr w:type="spellEnd"/>
      <w:r w:rsidRPr="00F54364">
        <w:rPr>
          <w:sz w:val="24"/>
          <w:szCs w:val="24"/>
        </w:rPr>
        <w:t xml:space="preserve"> E., Bonjour J.-P., </w:t>
      </w:r>
      <w:proofErr w:type="spellStart"/>
      <w:r w:rsidRPr="00F54364">
        <w:rPr>
          <w:sz w:val="24"/>
          <w:szCs w:val="24"/>
        </w:rPr>
        <w:t>Coxam</w:t>
      </w:r>
      <w:proofErr w:type="spellEnd"/>
      <w:r w:rsidRPr="00F54364">
        <w:rPr>
          <w:sz w:val="24"/>
          <w:szCs w:val="24"/>
        </w:rPr>
        <w:t xml:space="preserve"> V., </w:t>
      </w:r>
      <w:proofErr w:type="spellStart"/>
      <w:r w:rsidRPr="00F54364">
        <w:rPr>
          <w:sz w:val="24"/>
          <w:szCs w:val="24"/>
        </w:rPr>
        <w:t>Goltzman</w:t>
      </w:r>
      <w:proofErr w:type="spellEnd"/>
      <w:r w:rsidRPr="00F54364">
        <w:rPr>
          <w:sz w:val="24"/>
          <w:szCs w:val="24"/>
        </w:rPr>
        <w:t xml:space="preserve"> D., </w:t>
      </w:r>
      <w:proofErr w:type="spellStart"/>
      <w:r w:rsidRPr="00F54364">
        <w:rPr>
          <w:sz w:val="24"/>
          <w:szCs w:val="24"/>
        </w:rPr>
        <w:t>Kanis</w:t>
      </w:r>
      <w:proofErr w:type="spellEnd"/>
      <w:r w:rsidRPr="00F54364">
        <w:rPr>
          <w:sz w:val="24"/>
          <w:szCs w:val="24"/>
        </w:rPr>
        <w:t xml:space="preserve"> J.A., </w:t>
      </w:r>
      <w:proofErr w:type="spellStart"/>
      <w:r w:rsidRPr="00F54364">
        <w:rPr>
          <w:sz w:val="24"/>
          <w:szCs w:val="24"/>
        </w:rPr>
        <w:t>Lappe</w:t>
      </w:r>
      <w:proofErr w:type="spellEnd"/>
      <w:r w:rsidRPr="00F54364">
        <w:rPr>
          <w:sz w:val="24"/>
          <w:szCs w:val="24"/>
        </w:rPr>
        <w:t xml:space="preserve"> J., </w:t>
      </w:r>
      <w:proofErr w:type="spellStart"/>
      <w:r w:rsidRPr="00F54364">
        <w:rPr>
          <w:sz w:val="24"/>
          <w:szCs w:val="24"/>
        </w:rPr>
        <w:t>Rejnmark</w:t>
      </w:r>
      <w:proofErr w:type="spellEnd"/>
      <w:r w:rsidRPr="00F54364">
        <w:rPr>
          <w:sz w:val="24"/>
          <w:szCs w:val="24"/>
        </w:rPr>
        <w:t xml:space="preserve"> L., </w:t>
      </w:r>
      <w:proofErr w:type="spellStart"/>
      <w:r w:rsidRPr="00F54364">
        <w:rPr>
          <w:sz w:val="24"/>
          <w:szCs w:val="24"/>
        </w:rPr>
        <w:t>Sahni</w:t>
      </w:r>
      <w:proofErr w:type="spellEnd"/>
      <w:r w:rsidRPr="00F54364">
        <w:rPr>
          <w:sz w:val="24"/>
          <w:szCs w:val="24"/>
        </w:rPr>
        <w:t xml:space="preserve"> S., Weaver C., et al. Benefits and safety of dietary protein for bone health-an expert consensus paper endorsed by the European Society for Clinical and Economical Aspects of </w:t>
      </w:r>
      <w:proofErr w:type="spellStart"/>
      <w:r w:rsidRPr="00F54364">
        <w:rPr>
          <w:sz w:val="24"/>
          <w:szCs w:val="24"/>
        </w:rPr>
        <w:t>Osteopororosis</w:t>
      </w:r>
      <w:proofErr w:type="spellEnd"/>
      <w:r w:rsidRPr="00F54364">
        <w:rPr>
          <w:sz w:val="24"/>
          <w:szCs w:val="24"/>
        </w:rPr>
        <w:t xml:space="preserve">, Osteoarthritis, and Musculoskeletal Diseases and by the International Osteoporosis </w:t>
      </w:r>
      <w:proofErr w:type="spellStart"/>
      <w:r w:rsidRPr="00F54364">
        <w:rPr>
          <w:sz w:val="24"/>
          <w:szCs w:val="24"/>
        </w:rPr>
        <w:t>Fo</w:t>
      </w:r>
      <w:proofErr w:type="spellEnd"/>
      <w:r w:rsidRPr="00F54364">
        <w:rPr>
          <w:sz w:val="24"/>
          <w:szCs w:val="24"/>
        </w:rPr>
        <w:t xml:space="preserve">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Int. </w:t>
      </w:r>
      <w:proofErr w:type="gramStart"/>
      <w:r w:rsidRPr="00F54364">
        <w:rPr>
          <w:sz w:val="24"/>
          <w:szCs w:val="24"/>
        </w:rPr>
        <w:t>2018;29:1933</w:t>
      </w:r>
      <w:proofErr w:type="gramEnd"/>
      <w:r w:rsidRPr="00F54364">
        <w:rPr>
          <w:sz w:val="24"/>
          <w:szCs w:val="24"/>
        </w:rPr>
        <w:t>–1948.</w:t>
      </w:r>
    </w:p>
    <w:p w14:paraId="47285FE4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New S.A. Intake of fruit and vegetables: Implications for bone health. Proc. </w:t>
      </w:r>
      <w:proofErr w:type="spellStart"/>
      <w:r w:rsidRPr="00F54364">
        <w:rPr>
          <w:sz w:val="24"/>
          <w:szCs w:val="24"/>
        </w:rPr>
        <w:t>Nutr</w:t>
      </w:r>
      <w:proofErr w:type="spellEnd"/>
      <w:r w:rsidRPr="00F54364">
        <w:rPr>
          <w:sz w:val="24"/>
          <w:szCs w:val="24"/>
        </w:rPr>
        <w:t xml:space="preserve">. Soc. </w:t>
      </w:r>
      <w:proofErr w:type="gramStart"/>
      <w:r w:rsidRPr="00F54364">
        <w:rPr>
          <w:sz w:val="24"/>
          <w:szCs w:val="24"/>
        </w:rPr>
        <w:t>2003;62:889</w:t>
      </w:r>
      <w:proofErr w:type="gramEnd"/>
      <w:r w:rsidRPr="00F54364">
        <w:rPr>
          <w:sz w:val="24"/>
          <w:szCs w:val="24"/>
        </w:rPr>
        <w:t>–899.</w:t>
      </w:r>
    </w:p>
    <w:p w14:paraId="72F377A1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Finck</w:t>
      </w:r>
      <w:proofErr w:type="spellEnd"/>
      <w:r w:rsidRPr="00F54364">
        <w:rPr>
          <w:sz w:val="24"/>
          <w:szCs w:val="24"/>
        </w:rPr>
        <w:t xml:space="preserve"> H., Hart A.R., Jennings A., Welch A.A. Is there a role for vitamin C in preventing osteoporosis and fractures? A review of the potential underlying mechanisms and current epidemiological evidence. </w:t>
      </w:r>
      <w:proofErr w:type="spellStart"/>
      <w:r w:rsidRPr="00F54364">
        <w:rPr>
          <w:sz w:val="24"/>
          <w:szCs w:val="24"/>
        </w:rPr>
        <w:t>Nutr</w:t>
      </w:r>
      <w:proofErr w:type="spellEnd"/>
      <w:r w:rsidRPr="00F54364">
        <w:rPr>
          <w:sz w:val="24"/>
          <w:szCs w:val="24"/>
        </w:rPr>
        <w:t xml:space="preserve">. Res. Rev. </w:t>
      </w:r>
      <w:proofErr w:type="gramStart"/>
      <w:r w:rsidRPr="00F54364">
        <w:rPr>
          <w:sz w:val="24"/>
          <w:szCs w:val="24"/>
        </w:rPr>
        <w:t>2014;27:268</w:t>
      </w:r>
      <w:proofErr w:type="gramEnd"/>
      <w:r w:rsidRPr="00F54364">
        <w:rPr>
          <w:sz w:val="24"/>
          <w:szCs w:val="24"/>
        </w:rPr>
        <w:t>–283.</w:t>
      </w:r>
    </w:p>
    <w:p w14:paraId="01415879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Malmir</w:t>
      </w:r>
      <w:proofErr w:type="spellEnd"/>
      <w:r w:rsidRPr="00F54364">
        <w:rPr>
          <w:sz w:val="24"/>
          <w:szCs w:val="24"/>
        </w:rPr>
        <w:t xml:space="preserve"> H., </w:t>
      </w:r>
      <w:proofErr w:type="spellStart"/>
      <w:r w:rsidRPr="00F54364">
        <w:rPr>
          <w:sz w:val="24"/>
          <w:szCs w:val="24"/>
        </w:rPr>
        <w:t>Shab</w:t>
      </w:r>
      <w:proofErr w:type="spellEnd"/>
      <w:r w:rsidRPr="00F54364">
        <w:rPr>
          <w:sz w:val="24"/>
          <w:szCs w:val="24"/>
        </w:rPr>
        <w:t xml:space="preserve">-Bidar S., </w:t>
      </w:r>
      <w:proofErr w:type="spellStart"/>
      <w:r w:rsidRPr="00F54364">
        <w:rPr>
          <w:sz w:val="24"/>
          <w:szCs w:val="24"/>
        </w:rPr>
        <w:t>Djafarian</w:t>
      </w:r>
      <w:proofErr w:type="spellEnd"/>
      <w:r w:rsidRPr="00F54364">
        <w:rPr>
          <w:sz w:val="24"/>
          <w:szCs w:val="24"/>
        </w:rPr>
        <w:t xml:space="preserve"> K. Vitamin C intake in relation to bone mineral density and risk of hip fracture and osteoporosis: A systematic review and meta-analysis of observational studies. Br. J. </w:t>
      </w:r>
      <w:proofErr w:type="spellStart"/>
      <w:r w:rsidRPr="00F54364">
        <w:rPr>
          <w:sz w:val="24"/>
          <w:szCs w:val="24"/>
        </w:rPr>
        <w:t>Nutr</w:t>
      </w:r>
      <w:proofErr w:type="spellEnd"/>
      <w:r w:rsidRPr="00F54364">
        <w:rPr>
          <w:sz w:val="24"/>
          <w:szCs w:val="24"/>
        </w:rPr>
        <w:t xml:space="preserve">. </w:t>
      </w:r>
      <w:proofErr w:type="gramStart"/>
      <w:r w:rsidRPr="00F54364">
        <w:rPr>
          <w:sz w:val="24"/>
          <w:szCs w:val="24"/>
        </w:rPr>
        <w:t>2018;119:847</w:t>
      </w:r>
      <w:proofErr w:type="gramEnd"/>
      <w:r w:rsidRPr="00F54364">
        <w:rPr>
          <w:sz w:val="24"/>
          <w:szCs w:val="24"/>
        </w:rPr>
        <w:t>–858.</w:t>
      </w:r>
    </w:p>
    <w:p w14:paraId="42EBCC89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Sun Y., Liu C., Bo Y., You J., Zhu Y., Duan D., Cui H., Lu Q. Dietary vitamin C intake and the risk of hip fracture: A dose-response meta-analysis.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Int. </w:t>
      </w:r>
      <w:proofErr w:type="gramStart"/>
      <w:r w:rsidRPr="00F54364">
        <w:rPr>
          <w:sz w:val="24"/>
          <w:szCs w:val="24"/>
        </w:rPr>
        <w:t>2018;29:79</w:t>
      </w:r>
      <w:proofErr w:type="gramEnd"/>
      <w:r w:rsidRPr="00F54364">
        <w:rPr>
          <w:sz w:val="24"/>
          <w:szCs w:val="24"/>
        </w:rPr>
        <w:t>–87.</w:t>
      </w:r>
    </w:p>
    <w:p w14:paraId="6B126E8C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Griel</w:t>
      </w:r>
      <w:proofErr w:type="spellEnd"/>
      <w:r w:rsidRPr="00F54364">
        <w:rPr>
          <w:sz w:val="24"/>
          <w:szCs w:val="24"/>
        </w:rPr>
        <w:t xml:space="preserve"> A.E., Kris-</w:t>
      </w:r>
      <w:proofErr w:type="spellStart"/>
      <w:r w:rsidRPr="00F54364">
        <w:rPr>
          <w:sz w:val="24"/>
          <w:szCs w:val="24"/>
        </w:rPr>
        <w:t>Etherton</w:t>
      </w:r>
      <w:proofErr w:type="spellEnd"/>
      <w:r w:rsidRPr="00F54364">
        <w:rPr>
          <w:sz w:val="24"/>
          <w:szCs w:val="24"/>
        </w:rPr>
        <w:t xml:space="preserve"> P.M., </w:t>
      </w:r>
      <w:proofErr w:type="spellStart"/>
      <w:r w:rsidRPr="00F54364">
        <w:rPr>
          <w:sz w:val="24"/>
          <w:szCs w:val="24"/>
        </w:rPr>
        <w:t>Hilpert</w:t>
      </w:r>
      <w:proofErr w:type="spellEnd"/>
      <w:r w:rsidRPr="00F54364">
        <w:rPr>
          <w:sz w:val="24"/>
          <w:szCs w:val="24"/>
        </w:rPr>
        <w:t xml:space="preserve"> K.F., Zhao G., West S.G., Corwin R.L. An increase in dietary n-3 fatty acids decreases a marker of bone resorption in humans. </w:t>
      </w:r>
      <w:proofErr w:type="spellStart"/>
      <w:r w:rsidRPr="00F54364">
        <w:rPr>
          <w:sz w:val="24"/>
          <w:szCs w:val="24"/>
        </w:rPr>
        <w:t>Nutr</w:t>
      </w:r>
      <w:proofErr w:type="spellEnd"/>
      <w:r w:rsidRPr="00F54364">
        <w:rPr>
          <w:sz w:val="24"/>
          <w:szCs w:val="24"/>
        </w:rPr>
        <w:t xml:space="preserve">. J. </w:t>
      </w:r>
      <w:proofErr w:type="gramStart"/>
      <w:r w:rsidRPr="00F54364">
        <w:rPr>
          <w:sz w:val="24"/>
          <w:szCs w:val="24"/>
        </w:rPr>
        <w:t>2007;6:2</w:t>
      </w:r>
      <w:proofErr w:type="gramEnd"/>
      <w:r w:rsidRPr="00F54364">
        <w:rPr>
          <w:sz w:val="24"/>
          <w:szCs w:val="24"/>
        </w:rPr>
        <w:t>.</w:t>
      </w:r>
    </w:p>
    <w:p w14:paraId="3D27E0CE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Mangano</w:t>
      </w:r>
      <w:proofErr w:type="spellEnd"/>
      <w:r w:rsidRPr="00F54364">
        <w:rPr>
          <w:sz w:val="24"/>
          <w:szCs w:val="24"/>
        </w:rPr>
        <w:t xml:space="preserve"> K.M., </w:t>
      </w:r>
      <w:proofErr w:type="spellStart"/>
      <w:r w:rsidRPr="00F54364">
        <w:rPr>
          <w:sz w:val="24"/>
          <w:szCs w:val="24"/>
        </w:rPr>
        <w:t>Sahni</w:t>
      </w:r>
      <w:proofErr w:type="spellEnd"/>
      <w:r w:rsidRPr="00F54364">
        <w:rPr>
          <w:sz w:val="24"/>
          <w:szCs w:val="24"/>
        </w:rPr>
        <w:t xml:space="preserve"> S., </w:t>
      </w:r>
      <w:proofErr w:type="spellStart"/>
      <w:r w:rsidRPr="00F54364">
        <w:rPr>
          <w:sz w:val="24"/>
          <w:szCs w:val="24"/>
        </w:rPr>
        <w:t>Kerstetter</w:t>
      </w:r>
      <w:proofErr w:type="spellEnd"/>
      <w:r w:rsidRPr="00F54364">
        <w:rPr>
          <w:sz w:val="24"/>
          <w:szCs w:val="24"/>
        </w:rPr>
        <w:t xml:space="preserve"> J.E., Kenny A.M., Hannan M.T. Polyunsaturated fatty acids and their relation with bone and muscle health in adults. </w:t>
      </w:r>
      <w:proofErr w:type="spellStart"/>
      <w:r w:rsidRPr="00F54364">
        <w:rPr>
          <w:sz w:val="24"/>
          <w:szCs w:val="24"/>
        </w:rPr>
        <w:t>Curr</w:t>
      </w:r>
      <w:proofErr w:type="spellEnd"/>
      <w:r w:rsidRPr="00F54364">
        <w:rPr>
          <w:sz w:val="24"/>
          <w:szCs w:val="24"/>
        </w:rPr>
        <w:t xml:space="preserve">. </w:t>
      </w:r>
      <w:proofErr w:type="spellStart"/>
      <w:r w:rsidRPr="00F54364">
        <w:rPr>
          <w:sz w:val="24"/>
          <w:szCs w:val="24"/>
        </w:rPr>
        <w:t>Osteoporos</w:t>
      </w:r>
      <w:proofErr w:type="spellEnd"/>
      <w:r w:rsidRPr="00F54364">
        <w:rPr>
          <w:sz w:val="24"/>
          <w:szCs w:val="24"/>
        </w:rPr>
        <w:t xml:space="preserve">. Rep. </w:t>
      </w:r>
      <w:proofErr w:type="gramStart"/>
      <w:r w:rsidRPr="00F54364">
        <w:rPr>
          <w:sz w:val="24"/>
          <w:szCs w:val="24"/>
        </w:rPr>
        <w:t>2013;11:203</w:t>
      </w:r>
      <w:proofErr w:type="gramEnd"/>
      <w:r w:rsidRPr="00F54364">
        <w:rPr>
          <w:sz w:val="24"/>
          <w:szCs w:val="24"/>
        </w:rPr>
        <w:t>–212.</w:t>
      </w:r>
    </w:p>
    <w:p w14:paraId="3DE800B3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Shen D., Zhang X., Li Z., Bai H., Chen L. Effects of omega-3 fatty acids on bone turnover markers in postmenopausal women: Systematic review and meta-analysis. Climacteric. </w:t>
      </w:r>
      <w:proofErr w:type="gramStart"/>
      <w:r w:rsidRPr="00F54364">
        <w:rPr>
          <w:sz w:val="24"/>
          <w:szCs w:val="24"/>
        </w:rPr>
        <w:t>2017;20:522</w:t>
      </w:r>
      <w:proofErr w:type="gramEnd"/>
      <w:r w:rsidRPr="00F54364">
        <w:rPr>
          <w:sz w:val="24"/>
          <w:szCs w:val="24"/>
        </w:rPr>
        <w:t>–527.</w:t>
      </w:r>
    </w:p>
    <w:p w14:paraId="086F9FE8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F54364">
        <w:rPr>
          <w:sz w:val="24"/>
          <w:szCs w:val="24"/>
        </w:rPr>
        <w:t>Fratoni</w:t>
      </w:r>
      <w:proofErr w:type="spellEnd"/>
      <w:r w:rsidRPr="00F54364">
        <w:rPr>
          <w:sz w:val="24"/>
          <w:szCs w:val="24"/>
        </w:rPr>
        <w:t xml:space="preserve"> V., Brandi M.L. B vitamins, homocysteine and bone health. Nutrients. </w:t>
      </w:r>
      <w:proofErr w:type="gramStart"/>
      <w:r w:rsidRPr="00F54364">
        <w:rPr>
          <w:sz w:val="24"/>
          <w:szCs w:val="24"/>
        </w:rPr>
        <w:t>2015;7:2176</w:t>
      </w:r>
      <w:proofErr w:type="gramEnd"/>
      <w:r w:rsidRPr="00F54364">
        <w:rPr>
          <w:sz w:val="24"/>
          <w:szCs w:val="24"/>
        </w:rPr>
        <w:t>–2192.</w:t>
      </w:r>
    </w:p>
    <w:p w14:paraId="3D5648B2" w14:textId="77777777" w:rsidR="00F54364" w:rsidRPr="00F54364" w:rsidRDefault="00F54364" w:rsidP="00F54364">
      <w:pPr>
        <w:numPr>
          <w:ilvl w:val="0"/>
          <w:numId w:val="1"/>
        </w:numPr>
        <w:rPr>
          <w:sz w:val="24"/>
          <w:szCs w:val="24"/>
        </w:rPr>
      </w:pPr>
      <w:r w:rsidRPr="00F54364">
        <w:rPr>
          <w:sz w:val="24"/>
          <w:szCs w:val="24"/>
        </w:rPr>
        <w:t xml:space="preserve">Nielsen F.H., </w:t>
      </w:r>
      <w:proofErr w:type="spellStart"/>
      <w:r w:rsidRPr="00F54364">
        <w:rPr>
          <w:sz w:val="24"/>
          <w:szCs w:val="24"/>
        </w:rPr>
        <w:t>Lukaski</w:t>
      </w:r>
      <w:proofErr w:type="spellEnd"/>
      <w:r w:rsidRPr="00F54364">
        <w:rPr>
          <w:sz w:val="24"/>
          <w:szCs w:val="24"/>
        </w:rPr>
        <w:t xml:space="preserve"> H.C., Johnson L.K., Roughead Z.K.F. Reported zinc, but not copper, intakes influence whole-body bone density, mineral content and T score responses to zinc and copper supplementation in healthy postmenopausal women. Br. J. </w:t>
      </w:r>
      <w:proofErr w:type="spellStart"/>
      <w:r w:rsidRPr="00F54364">
        <w:rPr>
          <w:sz w:val="24"/>
          <w:szCs w:val="24"/>
        </w:rPr>
        <w:t>Nutr</w:t>
      </w:r>
      <w:proofErr w:type="spellEnd"/>
      <w:r w:rsidRPr="00F54364">
        <w:rPr>
          <w:sz w:val="24"/>
          <w:szCs w:val="24"/>
        </w:rPr>
        <w:t xml:space="preserve">. </w:t>
      </w:r>
      <w:proofErr w:type="gramStart"/>
      <w:r w:rsidRPr="00F54364">
        <w:rPr>
          <w:sz w:val="24"/>
          <w:szCs w:val="24"/>
        </w:rPr>
        <w:t>2011;106:1872</w:t>
      </w:r>
      <w:proofErr w:type="gramEnd"/>
      <w:r w:rsidRPr="00F54364">
        <w:rPr>
          <w:sz w:val="24"/>
          <w:szCs w:val="24"/>
        </w:rPr>
        <w:t>–1879.</w:t>
      </w:r>
    </w:p>
    <w:p w14:paraId="521F9F6F" w14:textId="77777777" w:rsidR="00F54364" w:rsidRPr="00ED3677" w:rsidRDefault="00F54364" w:rsidP="00ED3677">
      <w:pPr>
        <w:rPr>
          <w:sz w:val="24"/>
          <w:szCs w:val="24"/>
        </w:rPr>
      </w:pPr>
    </w:p>
    <w:sectPr w:rsidR="00F54364" w:rsidRPr="00ED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02A94"/>
    <w:multiLevelType w:val="hybridMultilevel"/>
    <w:tmpl w:val="435E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77"/>
    <w:rsid w:val="000639A8"/>
    <w:rsid w:val="00210130"/>
    <w:rsid w:val="00221BE6"/>
    <w:rsid w:val="002429A5"/>
    <w:rsid w:val="0027772D"/>
    <w:rsid w:val="0028396F"/>
    <w:rsid w:val="002A1EA5"/>
    <w:rsid w:val="002D1202"/>
    <w:rsid w:val="00380AA4"/>
    <w:rsid w:val="00414FBC"/>
    <w:rsid w:val="004E0AB4"/>
    <w:rsid w:val="00596A17"/>
    <w:rsid w:val="005D1447"/>
    <w:rsid w:val="00690222"/>
    <w:rsid w:val="007C1647"/>
    <w:rsid w:val="008F157A"/>
    <w:rsid w:val="00965D1B"/>
    <w:rsid w:val="009B46BF"/>
    <w:rsid w:val="00AD477E"/>
    <w:rsid w:val="00AE2636"/>
    <w:rsid w:val="00B011BD"/>
    <w:rsid w:val="00C5760D"/>
    <w:rsid w:val="00C931C1"/>
    <w:rsid w:val="00D9576D"/>
    <w:rsid w:val="00E04428"/>
    <w:rsid w:val="00EB7520"/>
    <w:rsid w:val="00ED3677"/>
    <w:rsid w:val="00F01F6D"/>
    <w:rsid w:val="00F5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C18E"/>
  <w15:chartTrackingRefBased/>
  <w15:docId w15:val="{39B107ED-E409-44E2-AF1E-0C4F8860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677"/>
    <w:rPr>
      <w:color w:val="605E5C"/>
      <w:shd w:val="clear" w:color="auto" w:fill="E1DFDD"/>
    </w:rPr>
  </w:style>
  <w:style w:type="character" w:customStyle="1" w:styleId="ref-journal">
    <w:name w:val="ref-journal"/>
    <w:basedOn w:val="DefaultParagraphFont"/>
    <w:rsid w:val="004E0AB4"/>
  </w:style>
  <w:style w:type="character" w:customStyle="1" w:styleId="ref-vol">
    <w:name w:val="ref-vol"/>
    <w:basedOn w:val="DefaultParagraphFont"/>
    <w:rsid w:val="004E0AB4"/>
  </w:style>
  <w:style w:type="character" w:customStyle="1" w:styleId="element-citation">
    <w:name w:val="element-citation"/>
    <w:basedOn w:val="DefaultParagraphFont"/>
    <w:rsid w:val="00E0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736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31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398">
          <w:marLeft w:val="0"/>
          <w:marRight w:val="0"/>
          <w:marTop w:val="332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071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90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25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61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475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62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83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17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62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59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Letitia Mates</dc:creator>
  <cp:keywords/>
  <dc:description/>
  <cp:lastModifiedBy>Letitia Mates</cp:lastModifiedBy>
  <cp:revision>1</cp:revision>
  <dcterms:created xsi:type="dcterms:W3CDTF">2021-01-17T07:55:00Z</dcterms:created>
  <dcterms:modified xsi:type="dcterms:W3CDTF">2021-01-24T09:53:00Z</dcterms:modified>
</cp:coreProperties>
</file>